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385445</wp:posOffset>
                </wp:positionH>
                <wp:positionV relativeFrom="paragraph">
                  <wp:posOffset>7157085</wp:posOffset>
                </wp:positionV>
                <wp:extent cx="4037965" cy="914400"/>
                <wp:effectExtent l="0" t="0" r="635" b="0"/>
                <wp:wrapNone/>
                <wp:docPr id="2" name="文本框 2"/>
                <wp:cNvGraphicFramePr/>
                <a:graphic xmlns:a="http://schemas.openxmlformats.org/drawingml/2006/main">
                  <a:graphicData uri="http://schemas.microsoft.com/office/word/2010/wordprocessingShape">
                    <wps:wsp>
                      <wps:cNvSpPr txBox="1"/>
                      <wps:spPr>
                        <a:xfrm>
                          <a:off x="2318385" y="7633335"/>
                          <a:ext cx="403796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32"/>
                                <w:szCs w:val="40"/>
                              </w:rPr>
                            </w:pPr>
                            <w:r>
                              <w:rPr>
                                <w:rFonts w:hint="eastAsia"/>
                                <w:b/>
                                <w:bCs/>
                                <w:sz w:val="32"/>
                                <w:szCs w:val="40"/>
                              </w:rPr>
                              <w:t>上海联勤工贸实业有限公司</w:t>
                            </w:r>
                          </w:p>
                          <w:p>
                            <w:pPr>
                              <w:jc w:val="center"/>
                              <w:rPr>
                                <w:b/>
                                <w:bCs/>
                                <w:sz w:val="32"/>
                                <w:szCs w:val="40"/>
                              </w:rPr>
                            </w:pPr>
                            <w:r>
                              <w:rPr>
                                <w:rFonts w:hint="eastAsia"/>
                                <w:b/>
                                <w:bCs/>
                                <w:sz w:val="32"/>
                                <w:szCs w:val="40"/>
                              </w:rPr>
                              <w:t>2022年1月</w:t>
                            </w:r>
                            <w:r>
                              <w:rPr>
                                <w:b/>
                                <w:bCs/>
                                <w:sz w:val="32"/>
                                <w:szCs w:val="40"/>
                              </w:rPr>
                              <w:t>2</w:t>
                            </w:r>
                            <w:r>
                              <w:rPr>
                                <w:rFonts w:hint="eastAsia"/>
                                <w:b/>
                                <w:bCs/>
                                <w:sz w:val="32"/>
                                <w:szCs w:val="40"/>
                              </w:rPr>
                              <w:t>8日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5pt;margin-top:563.55pt;height:72pt;width:317.95pt;z-index:251660288;mso-width-relative:page;mso-height-relative:page;" fillcolor="#FFFFFF [3201]" filled="t" stroked="f" coordsize="21600,21600" o:gfxdata="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OrTZbV&#10;AAAADAEAAA8AAAAAAAAAAQAgAAAAIgAAAGRycy9kb3ducmV2LnhtbFBLAQIUABQAAAAIAIdO4kBQ&#10;R7axXAIAAJsEAAAOAAAAAAAAAAEAIAAAACQBAABkcnMvZTJvRG9jLnhtbFBLBQYAAAAABgAGAFkB&#10;AADyBQAAAAA=&#10;">
                <v:fill on="t" focussize="0,0"/>
                <v:stroke on="f" weight="0.5pt"/>
                <v:imagedata o:title=""/>
                <o:lock v:ext="edit" aspectratio="f"/>
                <v:textbox>
                  <w:txbxContent>
                    <w:p>
                      <w:pPr>
                        <w:jc w:val="center"/>
                        <w:rPr>
                          <w:b/>
                          <w:bCs/>
                          <w:sz w:val="32"/>
                          <w:szCs w:val="40"/>
                        </w:rPr>
                      </w:pPr>
                      <w:r>
                        <w:rPr>
                          <w:rFonts w:hint="eastAsia"/>
                          <w:b/>
                          <w:bCs/>
                          <w:sz w:val="32"/>
                          <w:szCs w:val="40"/>
                        </w:rPr>
                        <w:t>上海联勤工贸实业有限公司</w:t>
                      </w:r>
                    </w:p>
                    <w:p>
                      <w:pPr>
                        <w:jc w:val="center"/>
                        <w:rPr>
                          <w:b/>
                          <w:bCs/>
                          <w:sz w:val="32"/>
                          <w:szCs w:val="40"/>
                        </w:rPr>
                      </w:pPr>
                      <w:r>
                        <w:rPr>
                          <w:rFonts w:hint="eastAsia"/>
                          <w:b/>
                          <w:bCs/>
                          <w:sz w:val="32"/>
                          <w:szCs w:val="40"/>
                        </w:rPr>
                        <w:t>2022年1月</w:t>
                      </w:r>
                      <w:r>
                        <w:rPr>
                          <w:b/>
                          <w:bCs/>
                          <w:sz w:val="32"/>
                          <w:szCs w:val="40"/>
                        </w:rPr>
                        <w:t>2</w:t>
                      </w:r>
                      <w:r>
                        <w:rPr>
                          <w:rFonts w:hint="eastAsia"/>
                          <w:b/>
                          <w:bCs/>
                          <w:sz w:val="32"/>
                          <w:szCs w:val="40"/>
                        </w:rPr>
                        <w:t>8日</w:t>
                      </w:r>
                    </w:p>
                  </w:txbxContent>
                </v:textbox>
              </v:shape>
            </w:pict>
          </mc:Fallback>
        </mc:AlternateContent>
      </w:r>
    </w:p>
    <w:p>
      <w:pPr>
        <w:spacing w:line="360" w:lineRule="auto"/>
        <w:rPr>
          <w:sz w:val="24"/>
        </w:rPr>
      </w:pPr>
    </w:p>
    <w:p>
      <w:pPr>
        <w:spacing w:line="360" w:lineRule="auto"/>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1546860</wp:posOffset>
                </wp:positionH>
                <wp:positionV relativeFrom="paragraph">
                  <wp:posOffset>81280</wp:posOffset>
                </wp:positionV>
                <wp:extent cx="1237615" cy="6189345"/>
                <wp:effectExtent l="0" t="0" r="635" b="1905"/>
                <wp:wrapNone/>
                <wp:docPr id="1" name="文本框 1"/>
                <wp:cNvGraphicFramePr/>
                <a:graphic xmlns:a="http://schemas.openxmlformats.org/drawingml/2006/main">
                  <a:graphicData uri="http://schemas.microsoft.com/office/word/2010/wordprocessingShape">
                    <wps:wsp>
                      <wps:cNvSpPr txBox="1"/>
                      <wps:spPr>
                        <a:xfrm>
                          <a:off x="2632710" y="1725295"/>
                          <a:ext cx="1237615" cy="6189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56"/>
                                <w:szCs w:val="96"/>
                              </w:rPr>
                            </w:pPr>
                            <w:r>
                              <w:rPr>
                                <w:rFonts w:hint="eastAsia"/>
                                <w:b/>
                                <w:bCs/>
                                <w:sz w:val="56"/>
                                <w:szCs w:val="96"/>
                              </w:rPr>
                              <w:t>海联楼餐厅窗口合作经营招标文件</w:t>
                            </w:r>
                          </w:p>
                          <w:p>
                            <w:pPr>
                              <w:rPr>
                                <w:sz w:val="32"/>
                                <w:szCs w:val="40"/>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8pt;margin-top:6.4pt;height:487.35pt;width:97.45pt;z-index:251659264;mso-width-relative:page;mso-height-relative:page;" fillcolor="#FFFFFF [3201]" filled="t" stroked="f" coordsize="21600,21600" o:gfxdata="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xrfG9gAAAAKAQAADwAAAAAAAAABACAAAAAiAAAAZHJzL2Rvd25yZXYueG1sUEsBAhQAFAAAAAgA&#10;h07iQAobvM9eAgAAngQAAA4AAAAAAAAAAQAgAAAAJwEAAGRycy9lMm9Eb2MueG1sUEsFBgAAAAAG&#10;AAYAWQEAAPcFAAAAAA==&#10;">
                <v:fill on="t" focussize="0,0"/>
                <v:stroke on="f" weight="0.5pt"/>
                <v:imagedata o:title=""/>
                <o:lock v:ext="edit" aspectratio="f"/>
                <v:textbox style="layout-flow:vertical-ideographic;">
                  <w:txbxContent>
                    <w:p>
                      <w:pPr>
                        <w:rPr>
                          <w:b/>
                          <w:bCs/>
                          <w:sz w:val="56"/>
                          <w:szCs w:val="96"/>
                        </w:rPr>
                      </w:pPr>
                      <w:r>
                        <w:rPr>
                          <w:rFonts w:hint="eastAsia"/>
                          <w:b/>
                          <w:bCs/>
                          <w:sz w:val="56"/>
                          <w:szCs w:val="96"/>
                        </w:rPr>
                        <w:t>海联楼餐厅窗口合作经营招标文件</w:t>
                      </w:r>
                    </w:p>
                    <w:p>
                      <w:pPr>
                        <w:rPr>
                          <w:sz w:val="32"/>
                          <w:szCs w:val="40"/>
                        </w:rPr>
                      </w:pPr>
                    </w:p>
                  </w:txbxContent>
                </v:textbox>
              </v:shape>
            </w:pict>
          </mc:Fallback>
        </mc:AlternateConten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tabs>
          <w:tab w:val="left" w:pos="5721"/>
        </w:tabs>
        <w:spacing w:line="360" w:lineRule="auto"/>
        <w:jc w:val="left"/>
        <w:rPr>
          <w:rFonts w:ascii="宋体" w:hAnsi="宋体" w:eastAsia="宋体" w:cs="宋体"/>
          <w:b/>
          <w:bCs/>
          <w:sz w:val="24"/>
        </w:rPr>
      </w:pPr>
      <w:bookmarkStart w:id="0" w:name="_GoBack"/>
      <w:bookmarkEnd w:id="0"/>
      <w:r>
        <w:rPr>
          <w:rFonts w:hint="eastAsia" w:ascii="宋体" w:hAnsi="宋体" w:eastAsia="宋体" w:cs="宋体"/>
          <w:b/>
          <w:bCs/>
          <w:sz w:val="24"/>
        </w:rPr>
        <w:t>一、招标项目要求</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（一）项目概况</w:t>
      </w:r>
    </w:p>
    <w:p>
      <w:pPr>
        <w:numPr>
          <w:ilvl w:val="0"/>
          <w:numId w:val="1"/>
        </w:numPr>
        <w:tabs>
          <w:tab w:val="left" w:pos="5721"/>
        </w:tabs>
        <w:spacing w:line="360" w:lineRule="auto"/>
        <w:jc w:val="left"/>
        <w:rPr>
          <w:rFonts w:ascii="宋体" w:hAnsi="宋体" w:eastAsia="宋体" w:cs="宋体"/>
          <w:sz w:val="24"/>
        </w:rPr>
      </w:pPr>
      <w:r>
        <w:rPr>
          <w:rFonts w:ascii="宋体" w:hAnsi="宋体" w:eastAsia="宋体" w:cs="宋体"/>
          <w:sz w:val="24"/>
        </w:rPr>
        <w:t>海联楼餐厅位于校区生活区外环线北侧，</w:t>
      </w:r>
      <w:r>
        <w:rPr>
          <w:rFonts w:hint="eastAsia" w:ascii="宋体" w:hAnsi="宋体" w:eastAsia="宋体" w:cs="宋体"/>
          <w:sz w:val="24"/>
        </w:rPr>
        <w:t>建筑面积2045平方米，6号门东侧，周边有后勤中心（校医院）、基建处、保卫处等办事机构及13幢学生公寓、2幢研究生公寓、2幢留学生公寓，校快递中心等校内建筑，人流量较大。</w:t>
      </w:r>
    </w:p>
    <w:p>
      <w:pPr>
        <w:numPr>
          <w:ilvl w:val="0"/>
          <w:numId w:val="1"/>
        </w:numPr>
        <w:tabs>
          <w:tab w:val="left" w:pos="5721"/>
        </w:tabs>
        <w:spacing w:line="360" w:lineRule="auto"/>
        <w:jc w:val="left"/>
        <w:rPr>
          <w:rFonts w:ascii="宋体" w:hAnsi="宋体" w:eastAsia="宋体" w:cs="宋体"/>
          <w:sz w:val="24"/>
        </w:rPr>
      </w:pPr>
      <w:r>
        <w:rPr>
          <w:rFonts w:hint="eastAsia" w:ascii="宋体" w:hAnsi="宋体" w:eastAsia="宋体" w:cs="宋体"/>
          <w:sz w:val="24"/>
        </w:rPr>
        <w:t>餐厅内设备：配备炮台、餐桌椅、蒸饭设备、筷子、保洁柜、冰箱、冷库、初加工设施等。投标方进场前需提供相应的设备安全保证金，合作经营期满或者离场后，在设施设备无损坏的情况下,招标方将设备安全保证金予以全额返还。</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（二）合作经营要求</w:t>
      </w:r>
    </w:p>
    <w:p>
      <w:pPr>
        <w:numPr>
          <w:ilvl w:val="0"/>
          <w:numId w:val="2"/>
        </w:numPr>
        <w:tabs>
          <w:tab w:val="left" w:pos="5721"/>
        </w:tabs>
        <w:spacing w:line="360" w:lineRule="auto"/>
        <w:jc w:val="left"/>
        <w:rPr>
          <w:rFonts w:ascii="宋体" w:hAnsi="宋体" w:eastAsia="宋体" w:cs="宋体"/>
          <w:sz w:val="24"/>
        </w:rPr>
      </w:pPr>
      <w:r>
        <w:rPr>
          <w:rFonts w:hint="eastAsia" w:ascii="宋体" w:hAnsi="宋体" w:eastAsia="宋体" w:cs="宋体"/>
          <w:sz w:val="24"/>
        </w:rPr>
        <w:t>合作经营期限：自合作经营合同签订之日起至2</w:t>
      </w:r>
      <w:r>
        <w:rPr>
          <w:rFonts w:ascii="宋体" w:hAnsi="宋体" w:eastAsia="宋体" w:cs="宋体"/>
          <w:sz w:val="24"/>
        </w:rPr>
        <w:t>024</w:t>
      </w:r>
      <w:r>
        <w:rPr>
          <w:rFonts w:hint="eastAsia" w:ascii="宋体" w:hAnsi="宋体" w:eastAsia="宋体" w:cs="宋体"/>
          <w:sz w:val="24"/>
        </w:rPr>
        <w:t>年底（采取1+2形式），即第一年考核如合格可继续签约，对考核不合格的合作经营方，将即时解除合作关系。</w:t>
      </w:r>
    </w:p>
    <w:p>
      <w:pPr>
        <w:numPr>
          <w:ilvl w:val="0"/>
          <w:numId w:val="2"/>
        </w:numPr>
        <w:tabs>
          <w:tab w:val="left" w:pos="5721"/>
        </w:tabs>
        <w:spacing w:line="360" w:lineRule="auto"/>
        <w:jc w:val="left"/>
        <w:rPr>
          <w:rFonts w:ascii="宋体" w:hAnsi="宋体" w:eastAsia="宋体" w:cs="宋体"/>
          <w:sz w:val="24"/>
        </w:rPr>
      </w:pPr>
      <w:r>
        <w:rPr>
          <w:rFonts w:hint="eastAsia" w:ascii="宋体" w:hAnsi="宋体" w:eastAsia="宋体" w:cs="宋体"/>
          <w:sz w:val="24"/>
        </w:rPr>
        <w:t>合作经营方必须守法经营，不得从事违法犯罪活动，不得在合作经营场所内从事宗教活动和非法集会活动。</w:t>
      </w:r>
    </w:p>
    <w:p>
      <w:pPr>
        <w:numPr>
          <w:ilvl w:val="0"/>
          <w:numId w:val="2"/>
        </w:numPr>
        <w:tabs>
          <w:tab w:val="left" w:pos="5721"/>
        </w:tabs>
        <w:spacing w:line="360" w:lineRule="auto"/>
        <w:jc w:val="left"/>
        <w:rPr>
          <w:rFonts w:ascii="宋体" w:hAnsi="宋体" w:eastAsia="宋体" w:cs="宋体"/>
          <w:sz w:val="24"/>
        </w:rPr>
      </w:pPr>
      <w:r>
        <w:rPr>
          <w:rFonts w:hint="eastAsia" w:ascii="宋体" w:hAnsi="宋体" w:eastAsia="宋体" w:cs="宋体"/>
          <w:sz w:val="24"/>
        </w:rPr>
        <w:t>合作经营方必须严格执行招标方的各项规章制度，服从招标方现场安全管理，并严格遵守现场管理制度，严禁出现任何破坏招标方工作秩序的行为。合作经营方在合同期内若不能严格执行合同，经综合考核（食品安全、窗口服务、经营状况等指标），招标方有权单方面终止合同并取消其合作经营资格，由此产生的一切后果由投标方负责。</w:t>
      </w:r>
    </w:p>
    <w:p>
      <w:pPr>
        <w:numPr>
          <w:ilvl w:val="0"/>
          <w:numId w:val="2"/>
        </w:numPr>
        <w:tabs>
          <w:tab w:val="left" w:pos="5721"/>
        </w:tabs>
        <w:spacing w:line="360" w:lineRule="auto"/>
        <w:jc w:val="left"/>
        <w:rPr>
          <w:rFonts w:ascii="宋体" w:hAnsi="宋体" w:eastAsia="宋体" w:cs="宋体"/>
          <w:sz w:val="24"/>
        </w:rPr>
      </w:pPr>
      <w:r>
        <w:rPr>
          <w:rFonts w:hint="eastAsia" w:ascii="宋体" w:hAnsi="宋体" w:eastAsia="宋体" w:cs="宋体"/>
          <w:sz w:val="24"/>
        </w:rPr>
        <w:t>合作经营方需亲自或者定负责人在营业时间内在岗对其合作经营的窗口进行现场管理，并负责其从业人员的食品安全、消防安全、操作安全、窗口服务等教育培训，并接受招标方管理人员的现场指导和培训。</w:t>
      </w:r>
    </w:p>
    <w:p>
      <w:pPr>
        <w:pStyle w:val="4"/>
        <w:widowControl w:val="0"/>
        <w:numPr>
          <w:ilvl w:val="0"/>
          <w:numId w:val="2"/>
        </w:numPr>
        <w:autoSpaceDE w:val="0"/>
        <w:autoSpaceDN w:val="0"/>
        <w:adjustRightInd w:val="0"/>
        <w:spacing w:before="0" w:after="0" w:line="360" w:lineRule="auto"/>
        <w:jc w:val="left"/>
        <w:rPr>
          <w:rFonts w:ascii="宋体" w:hAnsi="宋体" w:eastAsia="宋体" w:cs="宋体"/>
          <w:color w:val="000000"/>
          <w:sz w:val="24"/>
          <w:szCs w:val="24"/>
          <w:lang w:val="en-US" w:eastAsia="zh-CN"/>
        </w:rPr>
      </w:pPr>
      <w:r>
        <w:rPr>
          <w:rFonts w:hint="eastAsia" w:ascii="宋体" w:hAnsi="宋体" w:eastAsia="宋体" w:cs="宋体"/>
          <w:sz w:val="24"/>
          <w:szCs w:val="24"/>
          <w:lang w:val="en-US" w:eastAsia="zh-CN"/>
        </w:rPr>
        <w:t>合作经营方须使用招标方统一指定的收款方式收取营业款项</w:t>
      </w:r>
      <w:r>
        <w:rPr>
          <w:rFonts w:hint="eastAsia" w:ascii="宋体" w:hAnsi="宋体" w:eastAsia="宋体" w:cs="宋体"/>
          <w:color w:val="000000"/>
          <w:sz w:val="24"/>
          <w:szCs w:val="24"/>
          <w:lang w:eastAsia="zh-CN"/>
        </w:rPr>
        <w:t>，未经招标方同意不得发放各种形式的就餐券，不得采用现金方式交易。若发现两次以上现金交易或用指定收款方式之外的方式收取营业款的，招标方有权无条件终止合同，并没收经营收入和设备保证金。</w:t>
      </w:r>
    </w:p>
    <w:p>
      <w:pPr>
        <w:pStyle w:val="4"/>
        <w:widowControl w:val="0"/>
        <w:numPr>
          <w:ilvl w:val="0"/>
          <w:numId w:val="2"/>
        </w:numPr>
        <w:autoSpaceDE w:val="0"/>
        <w:autoSpaceDN w:val="0"/>
        <w:adjustRightInd w:val="0"/>
        <w:spacing w:before="0" w:after="0" w:line="360" w:lineRule="auto"/>
        <w:jc w:val="left"/>
        <w:rPr>
          <w:rFonts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作经营方需负责划分区域及设施设备和经营产品的卫生安全，签订合同时还须与招标方签订食品安全责任书，招标方严格执行事故责任追究制度，如在合作经营期内发生食物中毒等重大责任事故，损害就餐师生身体健康，影响招标方声誉，合作经营方必须承担由此造成的一切责任和经济损失，招标方有权无条件终止合同，并没收管理费和设备保证金。</w:t>
      </w:r>
    </w:p>
    <w:p>
      <w:pPr>
        <w:numPr>
          <w:ilvl w:val="0"/>
          <w:numId w:val="2"/>
        </w:numPr>
        <w:tabs>
          <w:tab w:val="left" w:pos="5721"/>
        </w:tabs>
        <w:spacing w:line="360" w:lineRule="auto"/>
        <w:jc w:val="left"/>
        <w:rPr>
          <w:rFonts w:ascii="宋体" w:hAnsi="宋体" w:eastAsia="宋体" w:cs="宋体"/>
          <w:sz w:val="24"/>
        </w:rPr>
      </w:pPr>
      <w:r>
        <w:rPr>
          <w:rFonts w:hint="eastAsia" w:ascii="宋体" w:hAnsi="宋体" w:eastAsia="宋体" w:cs="宋体"/>
          <w:sz w:val="24"/>
        </w:rPr>
        <w:t>合作经营方现场工作人员属于投标方的员工，与招标方不存在任何雇佣、委托等劳动关系，同时食堂工作人员在工作过程中的安全责任由投标方负责。如用电、用水、用气、上下班途中等不注意安全引起安全事故，或发生意外伤亡事故，合作经营方承担全部责任和必要的经济补偿，招标方概不承担任何责任。</w:t>
      </w:r>
    </w:p>
    <w:p>
      <w:pPr>
        <w:numPr>
          <w:ilvl w:val="0"/>
          <w:numId w:val="2"/>
        </w:numPr>
        <w:tabs>
          <w:tab w:val="left" w:pos="5721"/>
        </w:tabs>
        <w:spacing w:line="360" w:lineRule="auto"/>
        <w:jc w:val="left"/>
        <w:rPr>
          <w:rFonts w:ascii="宋体" w:hAnsi="宋体" w:eastAsia="宋体" w:cs="宋体"/>
          <w:sz w:val="24"/>
        </w:rPr>
      </w:pPr>
      <w:r>
        <w:rPr>
          <w:rFonts w:hint="eastAsia" w:ascii="宋体" w:hAnsi="宋体" w:eastAsia="宋体" w:cs="宋体"/>
          <w:sz w:val="24"/>
        </w:rPr>
        <w:t>招标方负责提供基本的设施设备供合作经营方使用，合作经营方自行购买的厨具、炊具、餐具等经过招标方审核后自行购买，特殊风味如需特殊餐具应在招标方批准后自行购买。</w:t>
      </w:r>
    </w:p>
    <w:p>
      <w:pPr>
        <w:numPr>
          <w:ilvl w:val="0"/>
          <w:numId w:val="2"/>
        </w:numPr>
        <w:tabs>
          <w:tab w:val="left" w:pos="5721"/>
        </w:tabs>
        <w:spacing w:line="360" w:lineRule="auto"/>
        <w:jc w:val="left"/>
        <w:rPr>
          <w:rFonts w:ascii="宋体" w:hAnsi="宋体" w:eastAsia="宋体" w:cs="宋体"/>
          <w:sz w:val="24"/>
        </w:rPr>
      </w:pPr>
      <w:r>
        <w:rPr>
          <w:rFonts w:hint="eastAsia" w:ascii="宋体" w:hAnsi="宋体" w:eastAsia="宋体" w:cs="宋体"/>
          <w:sz w:val="24"/>
        </w:rPr>
        <w:t>合作经营方应严格执行招标方制定的营业时间，并遵守节假日、学校大型活动作出的临时性营业安排。</w:t>
      </w:r>
    </w:p>
    <w:p>
      <w:pPr>
        <w:numPr>
          <w:ilvl w:val="0"/>
          <w:numId w:val="2"/>
        </w:numPr>
        <w:tabs>
          <w:tab w:val="left" w:pos="5721"/>
        </w:tabs>
        <w:spacing w:line="360" w:lineRule="auto"/>
        <w:jc w:val="left"/>
        <w:rPr>
          <w:rFonts w:ascii="宋体" w:hAnsi="宋体" w:eastAsia="宋体" w:cs="宋体"/>
          <w:sz w:val="24"/>
        </w:rPr>
      </w:pPr>
      <w:r>
        <w:rPr>
          <w:rFonts w:hint="eastAsia" w:ascii="宋体" w:hAnsi="宋体" w:eastAsia="宋体" w:cs="宋体"/>
          <w:sz w:val="24"/>
        </w:rPr>
        <w:t>合作经营方员工需佩戴统一工作服、工作帽、口罩、围裙等，费用由合作经营方自行承担。</w:t>
      </w:r>
    </w:p>
    <w:p>
      <w:pPr>
        <w:numPr>
          <w:ilvl w:val="0"/>
          <w:numId w:val="2"/>
        </w:numPr>
        <w:tabs>
          <w:tab w:val="left" w:pos="5721"/>
        </w:tabs>
        <w:spacing w:line="360" w:lineRule="auto"/>
        <w:jc w:val="left"/>
        <w:rPr>
          <w:rFonts w:ascii="宋体" w:hAnsi="宋体" w:eastAsia="宋体" w:cs="宋体"/>
          <w:sz w:val="24"/>
        </w:rPr>
      </w:pPr>
      <w:r>
        <w:rPr>
          <w:rFonts w:hint="eastAsia" w:ascii="宋体" w:hAnsi="宋体" w:eastAsia="宋体" w:cs="宋体"/>
          <w:sz w:val="24"/>
        </w:rPr>
        <w:t>未经招标方批准，在合作经营期限内合作经营方不得更改窗口结构和用途，若因经营服务需要对窗口进行改造装修、添加设备，需书面征得招标方批准后方可实施，并由合作经营方承担所有费用。在合作经营合同结束或终止合同后必须保持装修原貌，不得进行破坏，凡是镶嵌在墙上和地板上的设施设备（炉具）不得搬离，归招标方所有，招标方不负责任和补偿。自行出资购置的可移动设备及剩余物品，在合作经营合同结束或终止合同后7天内自行搬离经营场所。</w:t>
      </w:r>
    </w:p>
    <w:p>
      <w:pPr>
        <w:numPr>
          <w:ilvl w:val="0"/>
          <w:numId w:val="2"/>
        </w:numPr>
        <w:tabs>
          <w:tab w:val="left" w:pos="5721"/>
        </w:tabs>
        <w:spacing w:line="360" w:lineRule="auto"/>
        <w:jc w:val="left"/>
        <w:rPr>
          <w:rFonts w:ascii="宋体" w:hAnsi="宋体" w:eastAsia="宋体" w:cs="宋体"/>
          <w:sz w:val="24"/>
        </w:rPr>
      </w:pPr>
      <w:r>
        <w:rPr>
          <w:rFonts w:hint="eastAsia" w:ascii="宋体" w:hAnsi="宋体" w:eastAsia="宋体" w:cs="宋体"/>
          <w:sz w:val="24"/>
        </w:rPr>
        <w:t>投标方必须严格履行合作经营合同要求，不得在中标后转包或分包给他企业或者个人经营。</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（三）原料采购渠道</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1、窗口使用原料、调料、主副食品均有学校指派的高校后勤供货方提供，确保原物料的来源可追溯。</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2、合作经营窗口不得私自采购原料、调料等原材料。</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3、合作经营方根据生产需要，提前向招标方提出领料申请，由招标方统一向学校中心仓库领料，双方签字认可后用于产品加工。</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（三）费用结算</w:t>
      </w:r>
    </w:p>
    <w:p>
      <w:pPr>
        <w:numPr>
          <w:ilvl w:val="0"/>
          <w:numId w:val="3"/>
        </w:numPr>
        <w:tabs>
          <w:tab w:val="left" w:pos="5721"/>
        </w:tabs>
        <w:spacing w:line="360" w:lineRule="auto"/>
        <w:jc w:val="left"/>
        <w:rPr>
          <w:rFonts w:ascii="宋体" w:hAnsi="宋体" w:eastAsia="宋体" w:cs="宋体"/>
          <w:sz w:val="24"/>
        </w:rPr>
      </w:pPr>
      <w:r>
        <w:rPr>
          <w:rFonts w:hint="eastAsia" w:ascii="宋体" w:hAnsi="宋体" w:eastAsia="宋体" w:cs="宋体"/>
          <w:sz w:val="24"/>
        </w:rPr>
        <w:t>投标方中标后与招标方正式签订 《食堂窗口合作经营协议》时，需向招标方支付设备保证金贰万元整。</w:t>
      </w:r>
    </w:p>
    <w:p>
      <w:pPr>
        <w:numPr>
          <w:ilvl w:val="0"/>
          <w:numId w:val="3"/>
        </w:numPr>
        <w:tabs>
          <w:tab w:val="left" w:pos="5721"/>
        </w:tabs>
        <w:spacing w:line="360" w:lineRule="auto"/>
        <w:jc w:val="left"/>
        <w:rPr>
          <w:rFonts w:ascii="宋体" w:hAnsi="宋体" w:eastAsia="宋体" w:cs="宋体"/>
          <w:sz w:val="24"/>
        </w:rPr>
      </w:pPr>
      <w:r>
        <w:rPr>
          <w:rFonts w:hint="eastAsia" w:ascii="宋体" w:hAnsi="宋体" w:eastAsia="宋体" w:cs="宋体"/>
          <w:sz w:val="24"/>
        </w:rPr>
        <w:t>合作经营期限内的水费、电费、煤气费、餐具清洗费、就餐区域环境清洁费用均由招标标方自行承担。</w:t>
      </w:r>
    </w:p>
    <w:p>
      <w:pPr>
        <w:numPr>
          <w:ilvl w:val="0"/>
          <w:numId w:val="3"/>
        </w:numPr>
        <w:tabs>
          <w:tab w:val="left" w:pos="5721"/>
        </w:tabs>
        <w:spacing w:line="360" w:lineRule="auto"/>
        <w:jc w:val="left"/>
        <w:rPr>
          <w:rFonts w:ascii="宋体" w:hAnsi="宋体" w:eastAsia="宋体" w:cs="宋体"/>
          <w:sz w:val="24"/>
        </w:rPr>
      </w:pPr>
      <w:r>
        <w:rPr>
          <w:rFonts w:hint="eastAsia" w:ascii="宋体" w:hAnsi="宋体" w:eastAsia="宋体" w:cs="宋体"/>
          <w:sz w:val="24"/>
        </w:rPr>
        <w:t>合作经营方按每月实际营业额15</w:t>
      </w:r>
      <w:r>
        <w:rPr>
          <w:rFonts w:ascii="宋体" w:hAnsi="宋体" w:eastAsia="宋体" w:cs="宋体"/>
          <w:sz w:val="24"/>
        </w:rPr>
        <w:t>%—2</w:t>
      </w:r>
      <w:r>
        <w:rPr>
          <w:rFonts w:hint="eastAsia" w:ascii="宋体" w:hAnsi="宋体" w:eastAsia="宋体" w:cs="宋体"/>
          <w:sz w:val="24"/>
        </w:rPr>
        <w:t>0</w:t>
      </w:r>
      <w:r>
        <w:rPr>
          <w:rFonts w:ascii="宋体" w:hAnsi="宋体" w:eastAsia="宋体" w:cs="宋体"/>
          <w:sz w:val="24"/>
        </w:rPr>
        <w:t>%向招标方支付能耗使用费、设施设备维保费</w:t>
      </w:r>
      <w:r>
        <w:rPr>
          <w:rFonts w:hint="eastAsia" w:ascii="宋体" w:hAnsi="宋体" w:eastAsia="宋体" w:cs="宋体"/>
          <w:sz w:val="24"/>
        </w:rPr>
        <w:t>、运行服务费等相关费用，由招标方从当月实际营业款账户中直接扣除，同时每季度根据现场综合考核情况，给予营业额</w:t>
      </w:r>
      <w:r>
        <w:rPr>
          <w:rFonts w:ascii="宋体" w:hAnsi="宋体" w:eastAsia="宋体" w:cs="宋体"/>
          <w:sz w:val="24"/>
        </w:rPr>
        <w:t>3%—5%的费用作为考核奖励。</w:t>
      </w:r>
    </w:p>
    <w:p>
      <w:pPr>
        <w:numPr>
          <w:ilvl w:val="0"/>
          <w:numId w:val="3"/>
        </w:numPr>
        <w:tabs>
          <w:tab w:val="left" w:pos="5721"/>
        </w:tabs>
        <w:spacing w:line="360" w:lineRule="auto"/>
        <w:jc w:val="left"/>
        <w:rPr>
          <w:rFonts w:ascii="宋体" w:hAnsi="宋体" w:eastAsia="宋体" w:cs="宋体"/>
          <w:sz w:val="24"/>
        </w:rPr>
      </w:pPr>
      <w:r>
        <w:rPr>
          <w:rFonts w:hint="eastAsia" w:ascii="宋体" w:hAnsi="宋体" w:eastAsia="宋体" w:cs="宋体"/>
          <w:sz w:val="24"/>
        </w:rPr>
        <w:t>招标方在合作经营方每月营业额中扣除每月领料费用、合作经营方人员费用以及以上第3条相关费用后，将剩余的款项支付给合作经营方（需提供相关发票）。</w:t>
      </w:r>
    </w:p>
    <w:p>
      <w:pPr>
        <w:tabs>
          <w:tab w:val="left" w:pos="5721"/>
        </w:tabs>
        <w:spacing w:line="360" w:lineRule="auto"/>
        <w:jc w:val="left"/>
        <w:rPr>
          <w:rFonts w:ascii="宋体" w:hAnsi="宋体" w:eastAsia="宋体" w:cs="宋体"/>
          <w:sz w:val="24"/>
        </w:rPr>
      </w:pPr>
      <w:r>
        <w:rPr>
          <w:rFonts w:hint="eastAsia" w:ascii="宋体" w:hAnsi="宋体" w:eastAsia="宋体" w:cs="宋体"/>
          <w:b/>
          <w:bCs/>
          <w:sz w:val="24"/>
        </w:rPr>
        <w:t>二、投标须知</w:t>
      </w:r>
    </w:p>
    <w:p>
      <w:pPr>
        <w:tabs>
          <w:tab w:val="left" w:pos="5721"/>
        </w:tabs>
        <w:spacing w:line="360" w:lineRule="auto"/>
        <w:ind w:firstLine="240" w:firstLineChars="100"/>
        <w:jc w:val="left"/>
        <w:rPr>
          <w:rFonts w:ascii="宋体" w:hAnsi="宋体" w:eastAsia="宋体" w:cs="宋体"/>
          <w:sz w:val="24"/>
        </w:rPr>
      </w:pPr>
      <w:r>
        <w:rPr>
          <w:rFonts w:hint="eastAsia" w:ascii="宋体" w:hAnsi="宋体" w:eastAsia="宋体" w:cs="宋体"/>
          <w:sz w:val="24"/>
        </w:rPr>
        <w:t>投标方必须认真阅读以下内容，以免造成投标失败。</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（一） 业态设置要求</w:t>
      </w:r>
    </w:p>
    <w:p>
      <w:pPr>
        <w:numPr>
          <w:ilvl w:val="0"/>
          <w:numId w:val="4"/>
        </w:numPr>
        <w:tabs>
          <w:tab w:val="left" w:pos="5721"/>
        </w:tabs>
        <w:spacing w:line="360" w:lineRule="auto"/>
        <w:jc w:val="left"/>
        <w:rPr>
          <w:rFonts w:ascii="宋体" w:hAnsi="宋体" w:eastAsia="宋体" w:cs="宋体"/>
          <w:sz w:val="24"/>
        </w:rPr>
      </w:pPr>
      <w:r>
        <w:rPr>
          <w:rFonts w:hint="eastAsia" w:ascii="宋体" w:hAnsi="宋体" w:eastAsia="宋体" w:cs="宋体"/>
          <w:sz w:val="24"/>
        </w:rPr>
        <w:t>本次合作经营窗口设置为1</w:t>
      </w:r>
      <w:r>
        <w:rPr>
          <w:rFonts w:ascii="宋体" w:hAnsi="宋体" w:eastAsia="宋体" w:cs="宋体"/>
          <w:sz w:val="24"/>
        </w:rPr>
        <w:t>5</w:t>
      </w:r>
      <w:r>
        <w:rPr>
          <w:rFonts w:hint="eastAsia" w:ascii="宋体" w:hAnsi="宋体" w:eastAsia="宋体" w:cs="宋体"/>
          <w:sz w:val="24"/>
        </w:rPr>
        <w:t>个，其中一楼3个，二楼1</w:t>
      </w:r>
      <w:r>
        <w:rPr>
          <w:rFonts w:ascii="宋体" w:hAnsi="宋体" w:eastAsia="宋体" w:cs="宋体"/>
          <w:sz w:val="24"/>
        </w:rPr>
        <w:t>2</w:t>
      </w:r>
      <w:r>
        <w:rPr>
          <w:rFonts w:hint="eastAsia" w:ascii="宋体" w:hAnsi="宋体" w:eastAsia="宋体" w:cs="宋体"/>
          <w:sz w:val="24"/>
        </w:rPr>
        <w:t>个（具体见平面图）。</w:t>
      </w:r>
    </w:p>
    <w:p>
      <w:pPr>
        <w:numPr>
          <w:ilvl w:val="0"/>
          <w:numId w:val="4"/>
        </w:numPr>
        <w:tabs>
          <w:tab w:val="left" w:pos="5721"/>
        </w:tabs>
        <w:spacing w:line="360" w:lineRule="auto"/>
        <w:jc w:val="left"/>
        <w:rPr>
          <w:rFonts w:ascii="宋体" w:hAnsi="宋体" w:eastAsia="宋体" w:cs="宋体"/>
          <w:sz w:val="24"/>
        </w:rPr>
      </w:pPr>
      <w:r>
        <w:rPr>
          <w:rFonts w:hint="eastAsia" w:ascii="宋体" w:hAnsi="宋体" w:eastAsia="宋体" w:cs="宋体"/>
          <w:sz w:val="24"/>
        </w:rPr>
        <w:t>本次投标最多可投10个窗口，少投不限。</w:t>
      </w:r>
    </w:p>
    <w:p>
      <w:pPr>
        <w:numPr>
          <w:ilvl w:val="0"/>
          <w:numId w:val="4"/>
        </w:numPr>
        <w:tabs>
          <w:tab w:val="left" w:pos="5721"/>
        </w:tabs>
        <w:spacing w:line="360" w:lineRule="auto"/>
        <w:jc w:val="left"/>
        <w:rPr>
          <w:rFonts w:ascii="宋体" w:hAnsi="宋体" w:eastAsia="宋体" w:cs="宋体"/>
          <w:sz w:val="24"/>
        </w:rPr>
      </w:pPr>
      <w:r>
        <w:rPr>
          <w:rFonts w:hint="eastAsia" w:ascii="宋体" w:hAnsi="宋体" w:eastAsia="宋体" w:cs="宋体"/>
          <w:sz w:val="24"/>
        </w:rPr>
        <w:t>窗口业态拟布局如下：麻辣香锅、麻辣烫、米粉面条、肠粉、生煎馄饨饺子小笼、铁板饭、石锅饭、港式烧腊、轻食快餐、汉堡、披萨、水果现榨饮料、咖啡奶茶、粉丝汤类、特色酱饼类、各类煲仔、养生粥、卤味系列等业态（不限于以上品种，也可自报相关品种）。</w:t>
      </w:r>
    </w:p>
    <w:p>
      <w:pPr>
        <w:numPr>
          <w:ilvl w:val="0"/>
          <w:numId w:val="4"/>
        </w:numPr>
        <w:tabs>
          <w:tab w:val="left" w:pos="5721"/>
        </w:tabs>
        <w:spacing w:line="360" w:lineRule="auto"/>
        <w:jc w:val="left"/>
        <w:rPr>
          <w:rFonts w:ascii="宋体" w:hAnsi="宋体" w:eastAsia="宋体" w:cs="宋体"/>
          <w:sz w:val="24"/>
        </w:rPr>
      </w:pPr>
      <w:r>
        <w:rPr>
          <w:rFonts w:hint="eastAsia" w:ascii="宋体" w:hAnsi="宋体" w:eastAsia="宋体" w:cs="宋体"/>
          <w:sz w:val="24"/>
        </w:rPr>
        <w:t>基于餐厅经营品种多样化以及保持适度的竞争性和共生共赢的需要，投标方在中标后不得随意更改其经营范围和调整经营业态，如需调整，应书面征得招标方认可。</w:t>
      </w:r>
    </w:p>
    <w:p>
      <w:pPr>
        <w:numPr>
          <w:ilvl w:val="0"/>
          <w:numId w:val="4"/>
        </w:numPr>
        <w:tabs>
          <w:tab w:val="left" w:pos="5721"/>
        </w:tabs>
        <w:spacing w:line="360" w:lineRule="auto"/>
        <w:jc w:val="left"/>
        <w:rPr>
          <w:rFonts w:ascii="宋体" w:hAnsi="宋体" w:eastAsia="宋体" w:cs="宋体"/>
          <w:sz w:val="24"/>
        </w:rPr>
      </w:pPr>
      <w:r>
        <w:rPr>
          <w:rFonts w:hint="eastAsia" w:ascii="宋体" w:hAnsi="宋体" w:eastAsia="宋体" w:cs="宋体"/>
          <w:sz w:val="24"/>
        </w:rPr>
        <w:t>窗口现场加工需符合招标方现场食品安全要求，禁止供应不符合现场食品安全要求的产品。</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（二）投标方资质要求</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 xml:space="preserve">  1、须有实际餐饮经营管理经验，或者在上海高校有相关实际经营业态，了解高校餐饮服务要求。</w:t>
      </w:r>
    </w:p>
    <w:p>
      <w:pPr>
        <w:tabs>
          <w:tab w:val="left" w:pos="5721"/>
        </w:tabs>
        <w:spacing w:line="360" w:lineRule="auto"/>
        <w:ind w:firstLine="240" w:firstLineChars="100"/>
        <w:jc w:val="left"/>
        <w:rPr>
          <w:rFonts w:ascii="宋体" w:hAnsi="宋体" w:eastAsia="宋体" w:cs="宋体"/>
          <w:sz w:val="24"/>
        </w:rPr>
      </w:pPr>
      <w:r>
        <w:rPr>
          <w:rFonts w:hint="eastAsia" w:ascii="宋体" w:hAnsi="宋体" w:eastAsia="宋体" w:cs="宋体"/>
          <w:sz w:val="24"/>
        </w:rPr>
        <w:t>2、了解高校餐饮特点，要有立足为师生做好餐饮服务保障的思想，充分认识到学校食堂有明显公益性的特点。</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（三）投标文件要求</w:t>
      </w:r>
    </w:p>
    <w:p>
      <w:pPr>
        <w:numPr>
          <w:ilvl w:val="0"/>
          <w:numId w:val="5"/>
        </w:numPr>
        <w:tabs>
          <w:tab w:val="left" w:pos="5721"/>
        </w:tabs>
        <w:spacing w:line="360" w:lineRule="auto"/>
        <w:jc w:val="left"/>
        <w:rPr>
          <w:rFonts w:ascii="宋体" w:hAnsi="宋体" w:eastAsia="宋体" w:cs="宋体"/>
          <w:sz w:val="24"/>
        </w:rPr>
      </w:pPr>
      <w:r>
        <w:rPr>
          <w:rFonts w:hint="eastAsia" w:ascii="宋体" w:hAnsi="宋体" w:eastAsia="宋体" w:cs="宋体"/>
          <w:sz w:val="24"/>
        </w:rPr>
        <w:t>投标文件需A4纸打印，相关复印件需加盖公章或签字，装订成册。</w:t>
      </w:r>
    </w:p>
    <w:p>
      <w:pPr>
        <w:numPr>
          <w:ilvl w:val="0"/>
          <w:numId w:val="5"/>
        </w:numPr>
        <w:tabs>
          <w:tab w:val="left" w:pos="5721"/>
        </w:tabs>
        <w:spacing w:line="360" w:lineRule="auto"/>
        <w:jc w:val="left"/>
        <w:rPr>
          <w:rFonts w:ascii="宋体" w:hAnsi="宋体" w:eastAsia="宋体" w:cs="宋体"/>
          <w:sz w:val="24"/>
        </w:rPr>
      </w:pPr>
      <w:r>
        <w:rPr>
          <w:rFonts w:hint="eastAsia" w:ascii="宋体" w:hAnsi="宋体" w:eastAsia="宋体" w:cs="宋体"/>
          <w:sz w:val="24"/>
        </w:rPr>
        <w:t>投标文件需提供一式三份。</w:t>
      </w:r>
    </w:p>
    <w:p>
      <w:pPr>
        <w:numPr>
          <w:ilvl w:val="0"/>
          <w:numId w:val="5"/>
        </w:numPr>
        <w:tabs>
          <w:tab w:val="left" w:pos="5721"/>
        </w:tabs>
        <w:spacing w:line="360" w:lineRule="auto"/>
        <w:jc w:val="left"/>
        <w:rPr>
          <w:rFonts w:ascii="宋体" w:hAnsi="宋体" w:eastAsia="宋体" w:cs="宋体"/>
          <w:sz w:val="24"/>
        </w:rPr>
      </w:pPr>
      <w:r>
        <w:rPr>
          <w:rFonts w:hint="eastAsia" w:ascii="宋体" w:hAnsi="宋体" w:eastAsia="宋体" w:cs="宋体"/>
          <w:sz w:val="24"/>
        </w:rPr>
        <w:t>投标文件需包含窗口经营策划方案，方案应包含准备经营的产品详细目录和出售价格。</w:t>
      </w:r>
    </w:p>
    <w:p>
      <w:pPr>
        <w:numPr>
          <w:ilvl w:val="0"/>
          <w:numId w:val="5"/>
        </w:numPr>
        <w:tabs>
          <w:tab w:val="left" w:pos="5721"/>
        </w:tabs>
        <w:spacing w:line="360" w:lineRule="auto"/>
        <w:jc w:val="left"/>
        <w:rPr>
          <w:rFonts w:ascii="宋体" w:hAnsi="宋体" w:eastAsia="宋体" w:cs="宋体"/>
          <w:sz w:val="24"/>
        </w:rPr>
      </w:pPr>
      <w:r>
        <w:rPr>
          <w:rFonts w:hint="eastAsia" w:ascii="宋体" w:hAnsi="宋体" w:eastAsia="宋体" w:cs="宋体"/>
          <w:sz w:val="24"/>
        </w:rPr>
        <w:t>投标文件应注明所投标的业态产品可以接受的服务费比例，在15%—20%之间选择。并注明所投标的窗口号码。</w:t>
      </w:r>
    </w:p>
    <w:p>
      <w:pPr>
        <w:numPr>
          <w:ilvl w:val="0"/>
          <w:numId w:val="5"/>
        </w:numPr>
        <w:tabs>
          <w:tab w:val="left" w:pos="5721"/>
        </w:tabs>
        <w:spacing w:line="360" w:lineRule="auto"/>
        <w:jc w:val="left"/>
        <w:rPr>
          <w:rFonts w:ascii="宋体" w:hAnsi="宋体" w:eastAsia="宋体" w:cs="宋体"/>
          <w:sz w:val="24"/>
        </w:rPr>
      </w:pPr>
      <w:r>
        <w:rPr>
          <w:rFonts w:hint="eastAsia" w:ascii="宋体" w:hAnsi="宋体" w:eastAsia="宋体" w:cs="宋体"/>
          <w:sz w:val="24"/>
        </w:rPr>
        <w:t>投标文件密封与标记</w:t>
      </w:r>
    </w:p>
    <w:p>
      <w:pPr>
        <w:numPr>
          <w:ilvl w:val="0"/>
          <w:numId w:val="6"/>
        </w:numPr>
        <w:tabs>
          <w:tab w:val="left" w:pos="5721"/>
        </w:tabs>
        <w:spacing w:line="360" w:lineRule="auto"/>
        <w:jc w:val="left"/>
        <w:rPr>
          <w:rFonts w:ascii="宋体" w:hAnsi="宋体" w:eastAsia="宋体" w:cs="宋体"/>
          <w:sz w:val="24"/>
        </w:rPr>
      </w:pPr>
      <w:r>
        <w:rPr>
          <w:rFonts w:hint="eastAsia" w:ascii="宋体" w:hAnsi="宋体" w:eastAsia="宋体" w:cs="宋体"/>
          <w:sz w:val="24"/>
        </w:rPr>
        <w:t>投标人须将投标文件密封。</w:t>
      </w:r>
    </w:p>
    <w:p>
      <w:pPr>
        <w:numPr>
          <w:ilvl w:val="0"/>
          <w:numId w:val="6"/>
        </w:numPr>
        <w:tabs>
          <w:tab w:val="left" w:pos="5721"/>
        </w:tabs>
        <w:spacing w:line="360" w:lineRule="auto"/>
        <w:jc w:val="left"/>
        <w:rPr>
          <w:rFonts w:ascii="宋体" w:hAnsi="宋体" w:eastAsia="宋体" w:cs="宋体"/>
          <w:sz w:val="24"/>
        </w:rPr>
      </w:pPr>
      <w:r>
        <w:rPr>
          <w:rFonts w:hint="eastAsia" w:ascii="宋体" w:hAnsi="宋体" w:eastAsia="宋体" w:cs="宋体"/>
          <w:sz w:val="24"/>
        </w:rPr>
        <w:t>投标文件外包封上应写明：经营项目名称、准备投标窗口号码、投标公司或者个体全称；并注明开标时才能启封。</w:t>
      </w:r>
    </w:p>
    <w:p>
      <w:pPr>
        <w:numPr>
          <w:ilvl w:val="0"/>
          <w:numId w:val="5"/>
        </w:numPr>
        <w:tabs>
          <w:tab w:val="left" w:pos="5721"/>
        </w:tabs>
        <w:spacing w:line="360" w:lineRule="auto"/>
        <w:jc w:val="left"/>
        <w:rPr>
          <w:rFonts w:ascii="宋体" w:hAnsi="宋体" w:eastAsia="宋体" w:cs="宋体"/>
          <w:sz w:val="24"/>
        </w:rPr>
      </w:pPr>
      <w:r>
        <w:rPr>
          <w:rFonts w:hint="eastAsia" w:ascii="宋体" w:hAnsi="宋体" w:eastAsia="宋体" w:cs="宋体"/>
          <w:sz w:val="24"/>
        </w:rPr>
        <w:t>投标人必须在招标文件规定的截止时间前将投标文件送达指定的投标地点，在招标截止时间以后送达的投标文件将不再接收。</w:t>
      </w:r>
    </w:p>
    <w:p>
      <w:pPr>
        <w:tabs>
          <w:tab w:val="left" w:pos="5721"/>
        </w:tabs>
        <w:spacing w:line="360" w:lineRule="auto"/>
        <w:ind w:left="120"/>
        <w:jc w:val="left"/>
        <w:rPr>
          <w:rFonts w:ascii="宋体" w:hAnsi="宋体" w:eastAsia="宋体" w:cs="宋体"/>
          <w:sz w:val="24"/>
        </w:rPr>
      </w:pPr>
    </w:p>
    <w:p>
      <w:pPr>
        <w:numPr>
          <w:ilvl w:val="0"/>
          <w:numId w:val="7"/>
        </w:numPr>
        <w:tabs>
          <w:tab w:val="left" w:pos="5721"/>
        </w:tabs>
        <w:spacing w:line="360" w:lineRule="auto"/>
        <w:jc w:val="left"/>
        <w:rPr>
          <w:b/>
          <w:bCs/>
          <w:sz w:val="24"/>
        </w:rPr>
      </w:pPr>
      <w:r>
        <w:rPr>
          <w:rFonts w:hint="eastAsia"/>
          <w:b/>
          <w:bCs/>
          <w:sz w:val="24"/>
        </w:rPr>
        <w:t>评标办法与细则</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评标小组将按照规定只对通过符合性检查的投标文件进行评价和比较。</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具体方法及流程如下：</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1、接收投标文件</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招标人按招标文件规定的时间和地点接收投标文件。投标人必须按照要求制作和交投标文件。</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2、资格审查</w:t>
      </w:r>
    </w:p>
    <w:p>
      <w:pPr>
        <w:tabs>
          <w:tab w:val="left" w:pos="5721"/>
        </w:tabs>
        <w:spacing w:line="360" w:lineRule="auto"/>
        <w:ind w:firstLine="240" w:firstLineChars="100"/>
        <w:jc w:val="left"/>
        <w:rPr>
          <w:rFonts w:ascii="宋体" w:hAnsi="宋体" w:eastAsia="宋体" w:cs="宋体"/>
          <w:sz w:val="24"/>
        </w:rPr>
      </w:pPr>
      <w:r>
        <w:rPr>
          <w:rFonts w:hint="eastAsia" w:ascii="宋体" w:hAnsi="宋体" w:eastAsia="宋体" w:cs="宋体"/>
          <w:sz w:val="24"/>
        </w:rPr>
        <w:t>投标人对各投标文件按照招标文件要求的响应情况进行资格性和符合性审查。</w:t>
      </w:r>
    </w:p>
    <w:p>
      <w:pPr>
        <w:tabs>
          <w:tab w:val="left" w:pos="5721"/>
        </w:tabs>
        <w:spacing w:line="360" w:lineRule="auto"/>
        <w:ind w:left="240" w:hanging="240" w:hangingChars="100"/>
        <w:jc w:val="left"/>
        <w:rPr>
          <w:rFonts w:ascii="宋体" w:hAnsi="宋体" w:eastAsia="宋体" w:cs="宋体"/>
          <w:sz w:val="24"/>
        </w:rPr>
      </w:pPr>
      <w:r>
        <w:rPr>
          <w:rFonts w:hint="eastAsia" w:ascii="宋体" w:hAnsi="宋体" w:eastAsia="宋体" w:cs="宋体"/>
          <w:sz w:val="24"/>
        </w:rPr>
        <w:t>（1）符合性审查：评审小组将对各投标文件是否完整、有关资格证明文件是否齐全有效、文件签署是否合格、是否符合招标窗口的要求等商务符合性进行审查。</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（2）投标文件出现下列情况时将被认定为无效投标：</w:t>
      </w:r>
    </w:p>
    <w:p>
      <w:pPr>
        <w:tabs>
          <w:tab w:val="left" w:pos="5721"/>
        </w:tabs>
        <w:spacing w:line="360" w:lineRule="auto"/>
        <w:ind w:firstLine="240" w:firstLineChars="100"/>
        <w:jc w:val="left"/>
        <w:rPr>
          <w:rFonts w:ascii="宋体" w:hAnsi="宋体" w:eastAsia="宋体" w:cs="宋体"/>
          <w:sz w:val="24"/>
        </w:rPr>
      </w:pPr>
      <w:r>
        <w:rPr>
          <w:rFonts w:hint="eastAsia" w:ascii="宋体" w:hAnsi="宋体" w:eastAsia="宋体" w:cs="宋体"/>
          <w:sz w:val="24"/>
        </w:rPr>
        <w:t>①投标人不符合合格投标人的条件；</w:t>
      </w:r>
    </w:p>
    <w:p>
      <w:pPr>
        <w:tabs>
          <w:tab w:val="left" w:pos="5721"/>
        </w:tabs>
        <w:spacing w:line="360" w:lineRule="auto"/>
        <w:ind w:firstLine="240" w:firstLineChars="100"/>
        <w:jc w:val="left"/>
        <w:rPr>
          <w:rFonts w:ascii="宋体" w:hAnsi="宋体" w:eastAsia="宋体" w:cs="宋体"/>
          <w:sz w:val="24"/>
        </w:rPr>
      </w:pPr>
      <w:r>
        <w:rPr>
          <w:rFonts w:hint="eastAsia" w:ascii="宋体" w:hAnsi="宋体" w:eastAsia="宋体" w:cs="宋体"/>
          <w:sz w:val="24"/>
        </w:rPr>
        <w:t>②投标文件未按招标文件规定盖章或签署；</w:t>
      </w:r>
    </w:p>
    <w:p>
      <w:pPr>
        <w:tabs>
          <w:tab w:val="left" w:pos="5721"/>
        </w:tabs>
        <w:spacing w:line="360" w:lineRule="auto"/>
        <w:ind w:firstLine="240" w:firstLineChars="100"/>
        <w:jc w:val="left"/>
        <w:rPr>
          <w:rFonts w:ascii="宋体" w:hAnsi="宋体" w:eastAsia="宋体" w:cs="宋体"/>
          <w:sz w:val="24"/>
        </w:rPr>
      </w:pPr>
      <w:r>
        <w:rPr>
          <w:rFonts w:hint="eastAsia" w:ascii="宋体" w:hAnsi="宋体" w:eastAsia="宋体" w:cs="宋体"/>
          <w:sz w:val="24"/>
        </w:rPr>
        <w:t>③评标小组认为投标文件未符合窗口的要求的</w:t>
      </w:r>
    </w:p>
    <w:p>
      <w:pPr>
        <w:tabs>
          <w:tab w:val="left" w:pos="5721"/>
        </w:tabs>
        <w:spacing w:line="360" w:lineRule="auto"/>
        <w:ind w:firstLine="240" w:firstLineChars="100"/>
        <w:jc w:val="left"/>
        <w:rPr>
          <w:rFonts w:ascii="宋体" w:hAnsi="宋体" w:eastAsia="宋体" w:cs="宋体"/>
          <w:sz w:val="24"/>
        </w:rPr>
      </w:pPr>
      <w:r>
        <w:rPr>
          <w:rFonts w:hint="eastAsia" w:ascii="宋体" w:hAnsi="宋体" w:eastAsia="宋体" w:cs="宋体"/>
          <w:sz w:val="24"/>
        </w:rPr>
        <w:t>④评标小组认为其它构成投标未实质性响应招标文件要求的。</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（3）通过了评审小组审查的投标为有效投标，并进入下一阶段的详细评价和比较。经评审小组审查，若某投标出现 “不通过”，则该投标不能进入下一阶段的评审。</w:t>
      </w:r>
    </w:p>
    <w:p>
      <w:pPr>
        <w:tabs>
          <w:tab w:val="left" w:pos="5721"/>
        </w:tabs>
        <w:spacing w:line="360" w:lineRule="auto"/>
        <w:jc w:val="left"/>
        <w:rPr>
          <w:rFonts w:ascii="宋体" w:hAnsi="宋体" w:eastAsia="宋体" w:cs="宋体"/>
          <w:sz w:val="24"/>
        </w:rPr>
      </w:pPr>
      <w:r>
        <w:rPr>
          <w:rFonts w:hint="eastAsia" w:ascii="宋体" w:hAnsi="宋体" w:eastAsia="宋体" w:cs="宋体"/>
          <w:sz w:val="24"/>
        </w:rPr>
        <w:t>3、开标、评标</w:t>
      </w:r>
    </w:p>
    <w:p>
      <w:pPr>
        <w:tabs>
          <w:tab w:val="left" w:pos="5721"/>
        </w:tabs>
        <w:spacing w:line="360" w:lineRule="auto"/>
        <w:ind w:firstLine="480" w:firstLineChars="200"/>
        <w:jc w:val="left"/>
        <w:rPr>
          <w:rFonts w:ascii="宋体" w:hAnsi="宋体" w:eastAsia="宋体" w:cs="宋体"/>
          <w:sz w:val="24"/>
        </w:rPr>
      </w:pPr>
      <w:r>
        <w:rPr>
          <w:rFonts w:hint="eastAsia" w:ascii="宋体" w:hAnsi="宋体" w:eastAsia="宋体" w:cs="宋体"/>
          <w:sz w:val="24"/>
        </w:rPr>
        <w:t>组织评标小组人员按照评标程序的规定和依据进行评分。根据按得分高低排出名次，并根据窗口伙食层次的安排和经评小组综合讨论后决定。</w:t>
      </w:r>
    </w:p>
    <w:p>
      <w:pPr>
        <w:tabs>
          <w:tab w:val="left" w:pos="5721"/>
        </w:tabs>
        <w:spacing w:line="360" w:lineRule="auto"/>
        <w:ind w:left="108"/>
        <w:jc w:val="left"/>
        <w:rPr>
          <w:rFonts w:ascii="宋体" w:hAnsi="宋体" w:eastAsia="宋体" w:cs="宋体"/>
          <w:sz w:val="24"/>
        </w:rPr>
      </w:pPr>
      <w:r>
        <w:rPr>
          <w:rFonts w:hint="eastAsia" w:ascii="宋体" w:hAnsi="宋体" w:eastAsia="宋体" w:cs="宋体"/>
          <w:sz w:val="24"/>
        </w:rPr>
        <w:t>4、评标规则</w:t>
      </w:r>
    </w:p>
    <w:p>
      <w:pPr>
        <w:tabs>
          <w:tab w:val="left" w:pos="5721"/>
        </w:tabs>
        <w:spacing w:line="360" w:lineRule="auto"/>
        <w:ind w:left="108"/>
        <w:jc w:val="left"/>
        <w:rPr>
          <w:rFonts w:ascii="宋体" w:hAnsi="宋体" w:eastAsia="宋体" w:cs="宋体"/>
          <w:sz w:val="24"/>
        </w:rPr>
      </w:pPr>
      <w:r>
        <w:rPr>
          <w:rFonts w:hint="eastAsia" w:ascii="宋体" w:hAnsi="宋体" w:eastAsia="宋体" w:cs="宋体"/>
          <w:sz w:val="24"/>
        </w:rPr>
        <w:t>（1）.所有评委的评分，除以评委人数，得出的平均分为该投标人的得分，按照各有效投标人的总得分从高至低排名顺序，排名第一的为该窗口的中标人。</w:t>
      </w:r>
    </w:p>
    <w:p>
      <w:pPr>
        <w:tabs>
          <w:tab w:val="left" w:pos="5721"/>
        </w:tabs>
        <w:spacing w:line="360" w:lineRule="auto"/>
        <w:ind w:left="108"/>
        <w:jc w:val="left"/>
        <w:rPr>
          <w:rFonts w:ascii="宋体" w:hAnsi="宋体" w:eastAsia="宋体" w:cs="宋体"/>
          <w:sz w:val="24"/>
        </w:rPr>
      </w:pPr>
      <w:r>
        <w:rPr>
          <w:rFonts w:hint="eastAsia" w:ascii="宋体" w:hAnsi="宋体" w:eastAsia="宋体" w:cs="宋体"/>
          <w:sz w:val="24"/>
        </w:rPr>
        <w:t xml:space="preserve">（2）.招标人在签订合同过程中，如发现申报人以他人名义投标或者以其他方式弄虚作假，骗取合作经营商资格的，招标人有权取消其合作经营商资格，并将依次替补合作经营商，或重新启动新的招标。 </w:t>
      </w:r>
    </w:p>
    <w:p>
      <w:pPr>
        <w:tabs>
          <w:tab w:val="left" w:pos="5721"/>
        </w:tabs>
        <w:spacing w:line="360" w:lineRule="auto"/>
        <w:ind w:left="108"/>
        <w:jc w:val="left"/>
        <w:rPr>
          <w:rFonts w:ascii="宋体" w:hAnsi="宋体" w:eastAsia="宋体" w:cs="宋体"/>
          <w:sz w:val="24"/>
        </w:rPr>
      </w:pPr>
      <w:r>
        <w:rPr>
          <w:rFonts w:hint="eastAsia" w:ascii="宋体" w:hAnsi="宋体" w:eastAsia="宋体" w:cs="宋体"/>
          <w:sz w:val="24"/>
        </w:rPr>
        <w:t>（3）.为了禁止借用其他公司的资质进行投标，或进行分包和转包，上海联勤工贸实业有限公司将有权在签订合同之前，到投标人的经营场所进行核查相关的资质和项目情况。如发现资料造假，或无窗口所要求的实际经营场所和经营项目的，则有权取消中标资格，依次替补或重新招标。</w:t>
      </w:r>
    </w:p>
    <w:p>
      <w:pPr>
        <w:tabs>
          <w:tab w:val="left" w:pos="5721"/>
        </w:tabs>
        <w:spacing w:line="360" w:lineRule="auto"/>
        <w:ind w:left="105"/>
        <w:jc w:val="left"/>
        <w:rPr>
          <w:sz w:val="24"/>
        </w:rPr>
      </w:pPr>
      <w:r>
        <w:rPr>
          <w:rFonts w:ascii="宋体" w:hAnsi="宋体" w:eastAsia="宋体" w:cs="宋体"/>
          <w:sz w:val="24"/>
        </w:rPr>
        <w:t>5</w:t>
      </w:r>
      <w:r>
        <w:rPr>
          <w:rFonts w:hint="eastAsia" w:ascii="宋体" w:hAnsi="宋体" w:eastAsia="宋体" w:cs="宋体"/>
          <w:sz w:val="24"/>
        </w:rPr>
        <w:t>、评分标准</w:t>
      </w:r>
    </w:p>
    <w:tbl>
      <w:tblPr>
        <w:tblStyle w:val="2"/>
        <w:tblW w:w="5554"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601"/>
        <w:gridCol w:w="2606"/>
        <w:gridCol w:w="3073"/>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Align w:val="center"/>
          </w:tcPr>
          <w:p>
            <w:pPr>
              <w:tabs>
                <w:tab w:val="left" w:pos="5721"/>
              </w:tabs>
              <w:spacing w:line="360" w:lineRule="auto"/>
              <w:ind w:left="105"/>
              <w:jc w:val="left"/>
              <w:rPr>
                <w:sz w:val="24"/>
              </w:rPr>
            </w:pPr>
            <w:r>
              <w:rPr>
                <w:rFonts w:hint="eastAsia"/>
                <w:sz w:val="24"/>
              </w:rPr>
              <w:t>序号</w:t>
            </w:r>
          </w:p>
        </w:tc>
        <w:tc>
          <w:tcPr>
            <w:tcW w:w="1559" w:type="dxa"/>
            <w:vAlign w:val="center"/>
          </w:tcPr>
          <w:p>
            <w:pPr>
              <w:tabs>
                <w:tab w:val="left" w:pos="5721"/>
              </w:tabs>
              <w:spacing w:line="360" w:lineRule="auto"/>
              <w:ind w:left="105"/>
              <w:jc w:val="left"/>
              <w:rPr>
                <w:sz w:val="24"/>
              </w:rPr>
            </w:pPr>
            <w:r>
              <w:rPr>
                <w:rFonts w:hint="eastAsia"/>
                <w:sz w:val="24"/>
              </w:rPr>
              <w:t>评分项目</w:t>
            </w:r>
          </w:p>
        </w:tc>
        <w:tc>
          <w:tcPr>
            <w:tcW w:w="2537" w:type="dxa"/>
            <w:vAlign w:val="center"/>
          </w:tcPr>
          <w:p>
            <w:pPr>
              <w:tabs>
                <w:tab w:val="left" w:pos="5721"/>
              </w:tabs>
              <w:spacing w:line="360" w:lineRule="auto"/>
              <w:ind w:left="105"/>
              <w:jc w:val="left"/>
              <w:rPr>
                <w:sz w:val="24"/>
              </w:rPr>
            </w:pPr>
            <w:r>
              <w:rPr>
                <w:rFonts w:hint="eastAsia"/>
                <w:sz w:val="24"/>
              </w:rPr>
              <w:t>内  容</w:t>
            </w:r>
          </w:p>
        </w:tc>
        <w:tc>
          <w:tcPr>
            <w:tcW w:w="2992" w:type="dxa"/>
            <w:vAlign w:val="center"/>
          </w:tcPr>
          <w:p>
            <w:pPr>
              <w:tabs>
                <w:tab w:val="left" w:pos="5721"/>
              </w:tabs>
              <w:spacing w:line="360" w:lineRule="auto"/>
              <w:ind w:left="105"/>
              <w:jc w:val="left"/>
              <w:rPr>
                <w:sz w:val="24"/>
              </w:rPr>
            </w:pPr>
            <w:r>
              <w:rPr>
                <w:rFonts w:hint="eastAsia"/>
                <w:sz w:val="24"/>
              </w:rPr>
              <w:t>评分标准</w:t>
            </w:r>
          </w:p>
        </w:tc>
        <w:tc>
          <w:tcPr>
            <w:tcW w:w="1276" w:type="dxa"/>
            <w:vAlign w:val="center"/>
          </w:tcPr>
          <w:p>
            <w:pPr>
              <w:tabs>
                <w:tab w:val="left" w:pos="5721"/>
              </w:tabs>
              <w:spacing w:line="360" w:lineRule="auto"/>
              <w:ind w:left="105"/>
              <w:jc w:val="left"/>
              <w:rPr>
                <w:sz w:val="24"/>
              </w:rPr>
            </w:pPr>
            <w:r>
              <w:rPr>
                <w:rFonts w:hint="eastAsia"/>
                <w:sz w:val="24"/>
              </w:rPr>
              <w:t>分值100分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851" w:type="dxa"/>
            <w:vAlign w:val="center"/>
          </w:tcPr>
          <w:p>
            <w:pPr>
              <w:tabs>
                <w:tab w:val="left" w:pos="5721"/>
              </w:tabs>
              <w:spacing w:line="360" w:lineRule="auto"/>
              <w:ind w:left="105"/>
              <w:jc w:val="left"/>
              <w:rPr>
                <w:sz w:val="24"/>
              </w:rPr>
            </w:pPr>
            <w:r>
              <w:rPr>
                <w:rFonts w:hint="eastAsia"/>
                <w:sz w:val="24"/>
              </w:rPr>
              <w:t>1</w:t>
            </w:r>
          </w:p>
        </w:tc>
        <w:tc>
          <w:tcPr>
            <w:tcW w:w="1559" w:type="dxa"/>
            <w:vAlign w:val="center"/>
          </w:tcPr>
          <w:p>
            <w:pPr>
              <w:tabs>
                <w:tab w:val="left" w:pos="5721"/>
              </w:tabs>
              <w:spacing w:line="360" w:lineRule="auto"/>
              <w:ind w:left="105"/>
              <w:jc w:val="left"/>
              <w:rPr>
                <w:sz w:val="24"/>
              </w:rPr>
            </w:pPr>
            <w:r>
              <w:rPr>
                <w:rFonts w:hint="eastAsia"/>
                <w:sz w:val="24"/>
              </w:rPr>
              <w:t>市场需求、项目特色</w:t>
            </w:r>
          </w:p>
        </w:tc>
        <w:tc>
          <w:tcPr>
            <w:tcW w:w="2537" w:type="dxa"/>
            <w:vAlign w:val="center"/>
          </w:tcPr>
          <w:p>
            <w:pPr>
              <w:tabs>
                <w:tab w:val="left" w:pos="5721"/>
              </w:tabs>
              <w:spacing w:line="360" w:lineRule="auto"/>
              <w:ind w:left="105"/>
              <w:jc w:val="left"/>
              <w:rPr>
                <w:sz w:val="24"/>
              </w:rPr>
            </w:pPr>
            <w:r>
              <w:rPr>
                <w:rFonts w:hint="eastAsia"/>
                <w:sz w:val="24"/>
              </w:rPr>
              <w:t>项目特色、师生需求、项目竞争力以及菜品价格定位。</w:t>
            </w:r>
          </w:p>
        </w:tc>
        <w:tc>
          <w:tcPr>
            <w:tcW w:w="2992" w:type="dxa"/>
            <w:vAlign w:val="center"/>
          </w:tcPr>
          <w:p>
            <w:pPr>
              <w:tabs>
                <w:tab w:val="left" w:pos="5721"/>
              </w:tabs>
              <w:spacing w:line="360" w:lineRule="auto"/>
              <w:ind w:left="105"/>
              <w:jc w:val="left"/>
              <w:rPr>
                <w:sz w:val="24"/>
              </w:rPr>
            </w:pPr>
            <w:r>
              <w:rPr>
                <w:rFonts w:hint="eastAsia"/>
                <w:sz w:val="24"/>
              </w:rPr>
              <w:t>横向比较：优秀</w:t>
            </w:r>
            <w:r>
              <w:rPr>
                <w:sz w:val="24"/>
              </w:rPr>
              <w:t>2</w:t>
            </w:r>
            <w:r>
              <w:rPr>
                <w:rFonts w:hint="eastAsia"/>
                <w:sz w:val="24"/>
              </w:rPr>
              <w:t>0，良好</w:t>
            </w:r>
            <w:r>
              <w:rPr>
                <w:sz w:val="24"/>
              </w:rPr>
              <w:t>15</w:t>
            </w:r>
            <w:r>
              <w:rPr>
                <w:rFonts w:hint="eastAsia"/>
                <w:sz w:val="24"/>
              </w:rPr>
              <w:t>分，中等</w:t>
            </w:r>
            <w:r>
              <w:rPr>
                <w:sz w:val="24"/>
              </w:rPr>
              <w:t>12</w:t>
            </w:r>
            <w:r>
              <w:rPr>
                <w:rFonts w:hint="eastAsia"/>
                <w:sz w:val="24"/>
              </w:rPr>
              <w:t>分，一般</w:t>
            </w:r>
            <w:r>
              <w:rPr>
                <w:sz w:val="24"/>
              </w:rPr>
              <w:t>10</w:t>
            </w:r>
            <w:r>
              <w:rPr>
                <w:rFonts w:hint="eastAsia"/>
                <w:sz w:val="24"/>
              </w:rPr>
              <w:t>分</w:t>
            </w:r>
          </w:p>
        </w:tc>
        <w:tc>
          <w:tcPr>
            <w:tcW w:w="1276" w:type="dxa"/>
            <w:vAlign w:val="center"/>
          </w:tcPr>
          <w:p>
            <w:pPr>
              <w:tabs>
                <w:tab w:val="left" w:pos="5721"/>
              </w:tabs>
              <w:spacing w:line="360" w:lineRule="auto"/>
              <w:ind w:left="105"/>
              <w:jc w:val="left"/>
              <w:rPr>
                <w:sz w:val="24"/>
              </w:rPr>
            </w:pPr>
            <w:r>
              <w:rPr>
                <w:sz w:val="24"/>
              </w:rPr>
              <w:t>2</w:t>
            </w: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Align w:val="center"/>
          </w:tcPr>
          <w:p>
            <w:pPr>
              <w:tabs>
                <w:tab w:val="left" w:pos="5721"/>
              </w:tabs>
              <w:spacing w:line="360" w:lineRule="auto"/>
              <w:ind w:left="105"/>
              <w:jc w:val="left"/>
              <w:rPr>
                <w:sz w:val="24"/>
              </w:rPr>
            </w:pPr>
            <w:r>
              <w:rPr>
                <w:rFonts w:hint="eastAsia"/>
                <w:sz w:val="24"/>
              </w:rPr>
              <w:t>2</w:t>
            </w:r>
          </w:p>
        </w:tc>
        <w:tc>
          <w:tcPr>
            <w:tcW w:w="1559" w:type="dxa"/>
            <w:vAlign w:val="center"/>
          </w:tcPr>
          <w:p>
            <w:pPr>
              <w:tabs>
                <w:tab w:val="left" w:pos="5721"/>
              </w:tabs>
              <w:spacing w:line="360" w:lineRule="auto"/>
              <w:ind w:left="105"/>
              <w:jc w:val="left"/>
              <w:rPr>
                <w:sz w:val="24"/>
              </w:rPr>
            </w:pPr>
            <w:r>
              <w:rPr>
                <w:rFonts w:hint="eastAsia"/>
                <w:sz w:val="24"/>
              </w:rPr>
              <w:t>窗口经营方案</w:t>
            </w:r>
          </w:p>
        </w:tc>
        <w:tc>
          <w:tcPr>
            <w:tcW w:w="2537" w:type="dxa"/>
            <w:vAlign w:val="center"/>
          </w:tcPr>
          <w:p>
            <w:pPr>
              <w:tabs>
                <w:tab w:val="left" w:pos="5721"/>
              </w:tabs>
              <w:spacing w:line="360" w:lineRule="auto"/>
              <w:ind w:left="105"/>
              <w:jc w:val="left"/>
              <w:rPr>
                <w:sz w:val="24"/>
              </w:rPr>
            </w:pPr>
            <w:r>
              <w:rPr>
                <w:rFonts w:hint="eastAsia"/>
                <w:sz w:val="24"/>
              </w:rPr>
              <w:t>对投标人为本项目所制作的窗口经营服务方案及计划、服务标准和质量、服务保障承诺等进行综合评价。</w:t>
            </w:r>
          </w:p>
        </w:tc>
        <w:tc>
          <w:tcPr>
            <w:tcW w:w="2992" w:type="dxa"/>
            <w:vAlign w:val="center"/>
          </w:tcPr>
          <w:p>
            <w:pPr>
              <w:tabs>
                <w:tab w:val="left" w:pos="5721"/>
              </w:tabs>
              <w:spacing w:line="360" w:lineRule="auto"/>
              <w:ind w:left="105"/>
              <w:jc w:val="left"/>
              <w:rPr>
                <w:sz w:val="24"/>
              </w:rPr>
            </w:pPr>
            <w:r>
              <w:rPr>
                <w:rFonts w:hint="eastAsia"/>
                <w:sz w:val="24"/>
              </w:rPr>
              <w:t>横向比较：优秀20，良好15分，中等10分，一般5分</w:t>
            </w:r>
          </w:p>
        </w:tc>
        <w:tc>
          <w:tcPr>
            <w:tcW w:w="1276" w:type="dxa"/>
            <w:vAlign w:val="center"/>
          </w:tcPr>
          <w:p>
            <w:pPr>
              <w:tabs>
                <w:tab w:val="left" w:pos="5721"/>
              </w:tabs>
              <w:spacing w:line="360" w:lineRule="auto"/>
              <w:ind w:left="105"/>
              <w:jc w:val="left"/>
              <w:rPr>
                <w:sz w:val="24"/>
              </w:rPr>
            </w:pPr>
            <w:r>
              <w:rPr>
                <w:rFonts w:hint="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Align w:val="center"/>
          </w:tcPr>
          <w:p>
            <w:pPr>
              <w:tabs>
                <w:tab w:val="left" w:pos="5721"/>
              </w:tabs>
              <w:spacing w:line="360" w:lineRule="auto"/>
              <w:ind w:left="105"/>
              <w:jc w:val="left"/>
              <w:rPr>
                <w:sz w:val="24"/>
              </w:rPr>
            </w:pPr>
            <w:r>
              <w:rPr>
                <w:sz w:val="24"/>
              </w:rPr>
              <w:t>3</w:t>
            </w:r>
          </w:p>
        </w:tc>
        <w:tc>
          <w:tcPr>
            <w:tcW w:w="1559" w:type="dxa"/>
            <w:vAlign w:val="center"/>
          </w:tcPr>
          <w:p>
            <w:pPr>
              <w:tabs>
                <w:tab w:val="left" w:pos="5721"/>
              </w:tabs>
              <w:spacing w:line="360" w:lineRule="auto"/>
              <w:ind w:left="105"/>
              <w:jc w:val="left"/>
              <w:rPr>
                <w:sz w:val="24"/>
              </w:rPr>
            </w:pPr>
            <w:r>
              <w:rPr>
                <w:rFonts w:hint="eastAsia"/>
                <w:sz w:val="24"/>
              </w:rPr>
              <w:t>餐饮服务经验</w:t>
            </w:r>
          </w:p>
        </w:tc>
        <w:tc>
          <w:tcPr>
            <w:tcW w:w="2537" w:type="dxa"/>
            <w:vAlign w:val="center"/>
          </w:tcPr>
          <w:p>
            <w:pPr>
              <w:tabs>
                <w:tab w:val="left" w:pos="5721"/>
              </w:tabs>
              <w:spacing w:line="360" w:lineRule="auto"/>
              <w:ind w:left="105"/>
              <w:jc w:val="left"/>
              <w:rPr>
                <w:sz w:val="24"/>
              </w:rPr>
            </w:pPr>
            <w:r>
              <w:rPr>
                <w:rFonts w:hint="eastAsia"/>
                <w:sz w:val="24"/>
              </w:rPr>
              <w:t>按年份提供企业（含高校）食堂、社会窗口楼的经营业绩，提供合同复印件或餐饮服务许可证作为证明材料</w:t>
            </w:r>
          </w:p>
        </w:tc>
        <w:tc>
          <w:tcPr>
            <w:tcW w:w="2992" w:type="dxa"/>
            <w:vAlign w:val="center"/>
          </w:tcPr>
          <w:p>
            <w:pPr>
              <w:tabs>
                <w:tab w:val="left" w:pos="5721"/>
              </w:tabs>
              <w:spacing w:line="360" w:lineRule="auto"/>
              <w:ind w:left="105"/>
              <w:jc w:val="left"/>
              <w:rPr>
                <w:sz w:val="24"/>
              </w:rPr>
            </w:pPr>
            <w:r>
              <w:rPr>
                <w:rFonts w:hint="eastAsia"/>
                <w:sz w:val="24"/>
              </w:rPr>
              <w:t>截止开标日，每份合同中供餐经验每1年得</w:t>
            </w:r>
            <w:r>
              <w:rPr>
                <w:sz w:val="24"/>
              </w:rPr>
              <w:t>1</w:t>
            </w:r>
            <w:r>
              <w:rPr>
                <w:rFonts w:hint="eastAsia"/>
                <w:sz w:val="24"/>
              </w:rPr>
              <w:t>分，最高不超过</w:t>
            </w:r>
            <w:r>
              <w:rPr>
                <w:sz w:val="24"/>
              </w:rPr>
              <w:t>5</w:t>
            </w:r>
            <w:r>
              <w:rPr>
                <w:rFonts w:hint="eastAsia"/>
                <w:sz w:val="24"/>
              </w:rPr>
              <w:t>分。</w:t>
            </w:r>
          </w:p>
        </w:tc>
        <w:tc>
          <w:tcPr>
            <w:tcW w:w="1276" w:type="dxa"/>
            <w:vAlign w:val="center"/>
          </w:tcPr>
          <w:p>
            <w:pPr>
              <w:tabs>
                <w:tab w:val="left" w:pos="5721"/>
              </w:tabs>
              <w:spacing w:line="360" w:lineRule="auto"/>
              <w:ind w:left="105"/>
              <w:jc w:val="left"/>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Align w:val="center"/>
          </w:tcPr>
          <w:p>
            <w:pPr>
              <w:tabs>
                <w:tab w:val="left" w:pos="5721"/>
              </w:tabs>
              <w:spacing w:line="360" w:lineRule="auto"/>
              <w:ind w:left="105"/>
              <w:jc w:val="left"/>
              <w:rPr>
                <w:sz w:val="24"/>
              </w:rPr>
            </w:pPr>
            <w:r>
              <w:rPr>
                <w:sz w:val="24"/>
              </w:rPr>
              <w:t>4</w:t>
            </w:r>
          </w:p>
        </w:tc>
        <w:tc>
          <w:tcPr>
            <w:tcW w:w="1559" w:type="dxa"/>
            <w:vAlign w:val="center"/>
          </w:tcPr>
          <w:p>
            <w:pPr>
              <w:tabs>
                <w:tab w:val="left" w:pos="5721"/>
              </w:tabs>
              <w:spacing w:line="360" w:lineRule="auto"/>
              <w:ind w:left="105"/>
              <w:jc w:val="left"/>
              <w:rPr>
                <w:sz w:val="24"/>
              </w:rPr>
            </w:pPr>
            <w:r>
              <w:rPr>
                <w:rFonts w:hint="eastAsia"/>
                <w:sz w:val="24"/>
              </w:rPr>
              <w:t>经营产品价格</w:t>
            </w:r>
          </w:p>
        </w:tc>
        <w:tc>
          <w:tcPr>
            <w:tcW w:w="2537" w:type="dxa"/>
            <w:vAlign w:val="center"/>
          </w:tcPr>
          <w:p>
            <w:pPr>
              <w:tabs>
                <w:tab w:val="left" w:pos="5721"/>
              </w:tabs>
              <w:spacing w:line="360" w:lineRule="auto"/>
              <w:ind w:left="105"/>
              <w:jc w:val="left"/>
              <w:rPr>
                <w:sz w:val="24"/>
              </w:rPr>
            </w:pPr>
            <w:r>
              <w:rPr>
                <w:rFonts w:hint="eastAsia"/>
                <w:sz w:val="24"/>
              </w:rPr>
              <w:t>价格是否在高校师生可接受范围内</w:t>
            </w:r>
          </w:p>
        </w:tc>
        <w:tc>
          <w:tcPr>
            <w:tcW w:w="2992" w:type="dxa"/>
            <w:vAlign w:val="center"/>
          </w:tcPr>
          <w:p>
            <w:pPr>
              <w:tabs>
                <w:tab w:val="left" w:pos="5721"/>
              </w:tabs>
              <w:spacing w:line="360" w:lineRule="auto"/>
              <w:ind w:left="105"/>
              <w:jc w:val="left"/>
              <w:rPr>
                <w:sz w:val="24"/>
              </w:rPr>
            </w:pPr>
            <w:r>
              <w:rPr>
                <w:rFonts w:hint="eastAsia"/>
                <w:sz w:val="24"/>
              </w:rPr>
              <w:t>非常适合</w:t>
            </w:r>
            <w:r>
              <w:rPr>
                <w:sz w:val="24"/>
              </w:rPr>
              <w:t>10</w:t>
            </w:r>
            <w:r>
              <w:rPr>
                <w:rFonts w:hint="eastAsia"/>
                <w:sz w:val="24"/>
              </w:rPr>
              <w:t>分，在接受范围内</w:t>
            </w:r>
            <w:r>
              <w:rPr>
                <w:sz w:val="24"/>
              </w:rPr>
              <w:t>7</w:t>
            </w:r>
            <w:r>
              <w:rPr>
                <w:rFonts w:hint="eastAsia"/>
                <w:sz w:val="24"/>
              </w:rPr>
              <w:t>分，远超接受范围</w:t>
            </w:r>
            <w:r>
              <w:rPr>
                <w:sz w:val="24"/>
              </w:rPr>
              <w:t>3</w:t>
            </w:r>
            <w:r>
              <w:rPr>
                <w:rFonts w:hint="eastAsia"/>
                <w:sz w:val="24"/>
              </w:rPr>
              <w:t xml:space="preserve">分。 </w:t>
            </w:r>
          </w:p>
        </w:tc>
        <w:tc>
          <w:tcPr>
            <w:tcW w:w="1276" w:type="dxa"/>
            <w:vAlign w:val="center"/>
          </w:tcPr>
          <w:p>
            <w:pPr>
              <w:tabs>
                <w:tab w:val="left" w:pos="5721"/>
              </w:tabs>
              <w:spacing w:line="360" w:lineRule="auto"/>
              <w:ind w:left="105"/>
              <w:jc w:val="left"/>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Align w:val="center"/>
          </w:tcPr>
          <w:p>
            <w:pPr>
              <w:tabs>
                <w:tab w:val="left" w:pos="5721"/>
              </w:tabs>
              <w:spacing w:line="360" w:lineRule="auto"/>
              <w:ind w:left="105"/>
              <w:jc w:val="left"/>
              <w:rPr>
                <w:sz w:val="24"/>
              </w:rPr>
            </w:pPr>
            <w:r>
              <w:rPr>
                <w:sz w:val="24"/>
              </w:rPr>
              <w:t>5</w:t>
            </w:r>
          </w:p>
        </w:tc>
        <w:tc>
          <w:tcPr>
            <w:tcW w:w="1559" w:type="dxa"/>
            <w:vAlign w:val="center"/>
          </w:tcPr>
          <w:p>
            <w:pPr>
              <w:tabs>
                <w:tab w:val="left" w:pos="5721"/>
              </w:tabs>
              <w:spacing w:line="360" w:lineRule="auto"/>
              <w:ind w:left="105"/>
              <w:jc w:val="left"/>
              <w:rPr>
                <w:sz w:val="24"/>
              </w:rPr>
            </w:pPr>
            <w:r>
              <w:rPr>
                <w:rFonts w:hint="eastAsia"/>
                <w:sz w:val="24"/>
              </w:rPr>
              <w:t>人员配备情况</w:t>
            </w:r>
          </w:p>
        </w:tc>
        <w:tc>
          <w:tcPr>
            <w:tcW w:w="2537" w:type="dxa"/>
            <w:vAlign w:val="center"/>
          </w:tcPr>
          <w:p>
            <w:pPr>
              <w:tabs>
                <w:tab w:val="left" w:pos="5721"/>
              </w:tabs>
              <w:spacing w:line="360" w:lineRule="auto"/>
              <w:ind w:left="105"/>
              <w:jc w:val="left"/>
              <w:rPr>
                <w:sz w:val="24"/>
              </w:rPr>
            </w:pPr>
            <w:r>
              <w:rPr>
                <w:rFonts w:hint="eastAsia"/>
                <w:sz w:val="24"/>
              </w:rPr>
              <w:t>窗口的经营管理人员配备情况，比如配备有食品安全管理员、亲自承诺长期驻守窗口经营的</w:t>
            </w:r>
          </w:p>
        </w:tc>
        <w:tc>
          <w:tcPr>
            <w:tcW w:w="2992" w:type="dxa"/>
            <w:vAlign w:val="center"/>
          </w:tcPr>
          <w:p>
            <w:pPr>
              <w:tabs>
                <w:tab w:val="left" w:pos="5721"/>
              </w:tabs>
              <w:spacing w:line="360" w:lineRule="auto"/>
              <w:ind w:left="105"/>
              <w:jc w:val="left"/>
              <w:rPr>
                <w:sz w:val="24"/>
              </w:rPr>
            </w:pPr>
            <w:r>
              <w:rPr>
                <w:rFonts w:hint="eastAsia"/>
                <w:sz w:val="24"/>
              </w:rPr>
              <w:t>横向比较：优秀： 5分，良好： 3分，一般：1分，无：0分。</w:t>
            </w:r>
          </w:p>
        </w:tc>
        <w:tc>
          <w:tcPr>
            <w:tcW w:w="1276" w:type="dxa"/>
            <w:vAlign w:val="center"/>
          </w:tcPr>
          <w:p>
            <w:pPr>
              <w:tabs>
                <w:tab w:val="left" w:pos="5721"/>
              </w:tabs>
              <w:spacing w:line="360" w:lineRule="auto"/>
              <w:ind w:left="105"/>
              <w:jc w:val="left"/>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Align w:val="center"/>
          </w:tcPr>
          <w:p>
            <w:pPr>
              <w:tabs>
                <w:tab w:val="left" w:pos="5721"/>
              </w:tabs>
              <w:spacing w:line="360" w:lineRule="auto"/>
              <w:ind w:left="105"/>
              <w:jc w:val="left"/>
              <w:rPr>
                <w:sz w:val="24"/>
              </w:rPr>
            </w:pPr>
            <w:r>
              <w:rPr>
                <w:sz w:val="24"/>
              </w:rPr>
              <w:t>6</w:t>
            </w:r>
          </w:p>
        </w:tc>
        <w:tc>
          <w:tcPr>
            <w:tcW w:w="1559" w:type="dxa"/>
            <w:vAlign w:val="center"/>
          </w:tcPr>
          <w:p>
            <w:pPr>
              <w:tabs>
                <w:tab w:val="left" w:pos="5721"/>
              </w:tabs>
              <w:spacing w:line="360" w:lineRule="auto"/>
              <w:ind w:left="105"/>
              <w:jc w:val="left"/>
              <w:rPr>
                <w:sz w:val="24"/>
              </w:rPr>
            </w:pPr>
            <w:r>
              <w:rPr>
                <w:rFonts w:hint="eastAsia"/>
                <w:sz w:val="24"/>
              </w:rPr>
              <w:t>设备投入</w:t>
            </w:r>
          </w:p>
        </w:tc>
        <w:tc>
          <w:tcPr>
            <w:tcW w:w="2537" w:type="dxa"/>
            <w:vAlign w:val="center"/>
          </w:tcPr>
          <w:p>
            <w:pPr>
              <w:tabs>
                <w:tab w:val="left" w:pos="5721"/>
              </w:tabs>
              <w:spacing w:line="360" w:lineRule="auto"/>
              <w:ind w:left="105"/>
              <w:jc w:val="left"/>
              <w:rPr>
                <w:sz w:val="24"/>
              </w:rPr>
            </w:pPr>
            <w:r>
              <w:rPr>
                <w:rFonts w:hint="eastAsia"/>
                <w:sz w:val="24"/>
              </w:rPr>
              <w:t>由投标人投资窗口设备的情况</w:t>
            </w:r>
          </w:p>
        </w:tc>
        <w:tc>
          <w:tcPr>
            <w:tcW w:w="2992" w:type="dxa"/>
            <w:vAlign w:val="center"/>
          </w:tcPr>
          <w:p>
            <w:pPr>
              <w:tabs>
                <w:tab w:val="left" w:pos="5721"/>
              </w:tabs>
              <w:spacing w:line="360" w:lineRule="auto"/>
              <w:ind w:left="105"/>
              <w:jc w:val="left"/>
              <w:rPr>
                <w:sz w:val="24"/>
              </w:rPr>
            </w:pPr>
            <w:r>
              <w:rPr>
                <w:rFonts w:hint="eastAsia"/>
                <w:sz w:val="24"/>
              </w:rPr>
              <w:t xml:space="preserve">横向比较：优秀： </w:t>
            </w:r>
            <w:r>
              <w:rPr>
                <w:sz w:val="24"/>
              </w:rPr>
              <w:t>10</w:t>
            </w:r>
            <w:r>
              <w:rPr>
                <w:rFonts w:hint="eastAsia"/>
                <w:sz w:val="24"/>
              </w:rPr>
              <w:t xml:space="preserve">分，良好： </w:t>
            </w:r>
            <w:r>
              <w:rPr>
                <w:sz w:val="24"/>
              </w:rPr>
              <w:t>7</w:t>
            </w:r>
            <w:r>
              <w:rPr>
                <w:rFonts w:hint="eastAsia"/>
                <w:sz w:val="24"/>
              </w:rPr>
              <w:t>，一般或无得5分</w:t>
            </w:r>
          </w:p>
        </w:tc>
        <w:tc>
          <w:tcPr>
            <w:tcW w:w="1276" w:type="dxa"/>
            <w:vAlign w:val="center"/>
          </w:tcPr>
          <w:p>
            <w:pPr>
              <w:tabs>
                <w:tab w:val="left" w:pos="5721"/>
              </w:tabs>
              <w:spacing w:line="360" w:lineRule="auto"/>
              <w:ind w:left="105"/>
              <w:jc w:val="left"/>
              <w:rPr>
                <w:sz w:val="24"/>
              </w:rPr>
            </w:pPr>
            <w:r>
              <w:rPr>
                <w:rFonts w:hint="eastAsia"/>
                <w:sz w:val="24"/>
              </w:rPr>
              <w:t>1</w:t>
            </w:r>
            <w:r>
              <w:rPr>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pPr>
              <w:tabs>
                <w:tab w:val="left" w:pos="5721"/>
              </w:tabs>
              <w:spacing w:line="360" w:lineRule="auto"/>
              <w:ind w:left="105"/>
              <w:jc w:val="left"/>
              <w:rPr>
                <w:sz w:val="24"/>
              </w:rPr>
            </w:pPr>
            <w:r>
              <w:rPr>
                <w:rFonts w:hint="eastAsia"/>
                <w:sz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5721"/>
              </w:tabs>
              <w:spacing w:line="360" w:lineRule="auto"/>
              <w:ind w:left="105"/>
              <w:jc w:val="left"/>
              <w:rPr>
                <w:sz w:val="24"/>
              </w:rPr>
            </w:pPr>
            <w:r>
              <w:rPr>
                <w:rFonts w:hint="eastAsia"/>
                <w:sz w:val="24"/>
              </w:rPr>
              <w:t>分成</w:t>
            </w:r>
          </w:p>
          <w:p>
            <w:pPr>
              <w:tabs>
                <w:tab w:val="left" w:pos="5721"/>
              </w:tabs>
              <w:spacing w:line="360" w:lineRule="auto"/>
              <w:ind w:left="105"/>
              <w:jc w:val="left"/>
              <w:rPr>
                <w:sz w:val="24"/>
              </w:rPr>
            </w:pPr>
            <w:r>
              <w:rPr>
                <w:rFonts w:hint="eastAsia"/>
                <w:sz w:val="24"/>
              </w:rPr>
              <w:t>比例</w:t>
            </w:r>
          </w:p>
        </w:tc>
        <w:tc>
          <w:tcPr>
            <w:tcW w:w="2537" w:type="dxa"/>
            <w:tcBorders>
              <w:top w:val="single" w:color="auto" w:sz="4" w:space="0"/>
              <w:left w:val="single" w:color="auto" w:sz="4" w:space="0"/>
              <w:bottom w:val="single" w:color="auto" w:sz="4" w:space="0"/>
              <w:right w:val="single" w:color="auto" w:sz="4" w:space="0"/>
            </w:tcBorders>
            <w:vAlign w:val="center"/>
          </w:tcPr>
          <w:p>
            <w:pPr>
              <w:tabs>
                <w:tab w:val="left" w:pos="5721"/>
              </w:tabs>
              <w:spacing w:line="360" w:lineRule="auto"/>
              <w:ind w:left="105"/>
              <w:jc w:val="left"/>
              <w:rPr>
                <w:sz w:val="24"/>
              </w:rPr>
            </w:pPr>
            <w:r>
              <w:rPr>
                <w:rFonts w:hint="eastAsia"/>
                <w:sz w:val="24"/>
              </w:rPr>
              <w:t>根据自己经营产品，自报可接受的合作分成比例</w:t>
            </w:r>
          </w:p>
        </w:tc>
        <w:tc>
          <w:tcPr>
            <w:tcW w:w="2992" w:type="dxa"/>
            <w:tcBorders>
              <w:top w:val="single" w:color="auto" w:sz="4" w:space="0"/>
              <w:left w:val="single" w:color="auto" w:sz="4" w:space="0"/>
              <w:bottom w:val="single" w:color="auto" w:sz="4" w:space="0"/>
              <w:right w:val="single" w:color="auto" w:sz="4" w:space="0"/>
            </w:tcBorders>
            <w:vAlign w:val="center"/>
          </w:tcPr>
          <w:p>
            <w:pPr>
              <w:tabs>
                <w:tab w:val="left" w:pos="5721"/>
              </w:tabs>
              <w:spacing w:line="360" w:lineRule="auto"/>
              <w:ind w:left="105"/>
              <w:jc w:val="left"/>
              <w:rPr>
                <w:sz w:val="24"/>
              </w:rPr>
            </w:pPr>
            <w:r>
              <w:rPr>
                <w:rFonts w:hint="eastAsia"/>
                <w:sz w:val="24"/>
              </w:rPr>
              <w:t>15%为</w:t>
            </w:r>
            <w:r>
              <w:rPr>
                <w:sz w:val="24"/>
              </w:rPr>
              <w:t>20</w:t>
            </w:r>
            <w:r>
              <w:rPr>
                <w:rFonts w:hint="eastAsia"/>
                <w:sz w:val="24"/>
              </w:rPr>
              <w:t>分，每提高1个点，分值增加</w:t>
            </w:r>
            <w:r>
              <w:rPr>
                <w:sz w:val="24"/>
              </w:rPr>
              <w:t>2</w:t>
            </w:r>
            <w:r>
              <w:rPr>
                <w:rFonts w:hint="eastAsia"/>
                <w:sz w:val="24"/>
              </w:rPr>
              <w:t>分</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721"/>
              </w:tabs>
              <w:spacing w:line="360" w:lineRule="auto"/>
              <w:ind w:left="105"/>
              <w:jc w:val="left"/>
              <w:rPr>
                <w:sz w:val="24"/>
              </w:rPr>
            </w:pPr>
            <w:r>
              <w:rPr>
                <w:sz w:val="24"/>
              </w:rPr>
              <w:t>30</w:t>
            </w:r>
          </w:p>
        </w:tc>
      </w:tr>
    </w:tbl>
    <w:p>
      <w:pPr>
        <w:tabs>
          <w:tab w:val="left" w:pos="5721"/>
        </w:tabs>
        <w:spacing w:line="360" w:lineRule="auto"/>
        <w:ind w:left="105"/>
        <w:jc w:val="lef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789F1"/>
    <w:multiLevelType w:val="singleLevel"/>
    <w:tmpl w:val="C95789F1"/>
    <w:lvl w:ilvl="0" w:tentative="0">
      <w:start w:val="1"/>
      <w:numFmt w:val="decimal"/>
      <w:suff w:val="nothing"/>
      <w:lvlText w:val="%1、"/>
      <w:lvlJc w:val="left"/>
      <w:pPr>
        <w:ind w:left="120" w:firstLine="0"/>
      </w:pPr>
    </w:lvl>
  </w:abstractNum>
  <w:abstractNum w:abstractNumId="1">
    <w:nsid w:val="1267D9BB"/>
    <w:multiLevelType w:val="singleLevel"/>
    <w:tmpl w:val="1267D9BB"/>
    <w:lvl w:ilvl="0" w:tentative="0">
      <w:start w:val="1"/>
      <w:numFmt w:val="decimal"/>
      <w:suff w:val="nothing"/>
      <w:lvlText w:val="%1、"/>
      <w:lvlJc w:val="left"/>
      <w:pPr>
        <w:ind w:left="105" w:firstLine="0"/>
      </w:pPr>
    </w:lvl>
  </w:abstractNum>
  <w:abstractNum w:abstractNumId="2">
    <w:nsid w:val="2762B695"/>
    <w:multiLevelType w:val="singleLevel"/>
    <w:tmpl w:val="2762B695"/>
    <w:lvl w:ilvl="0" w:tentative="0">
      <w:start w:val="1"/>
      <w:numFmt w:val="decimal"/>
      <w:suff w:val="nothing"/>
      <w:lvlText w:val="%1、"/>
      <w:lvlJc w:val="left"/>
    </w:lvl>
  </w:abstractNum>
  <w:abstractNum w:abstractNumId="3">
    <w:nsid w:val="2C8A9331"/>
    <w:multiLevelType w:val="singleLevel"/>
    <w:tmpl w:val="2C8A9331"/>
    <w:lvl w:ilvl="0" w:tentative="0">
      <w:start w:val="1"/>
      <w:numFmt w:val="decimal"/>
      <w:suff w:val="nothing"/>
      <w:lvlText w:val="%1、"/>
      <w:lvlJc w:val="left"/>
    </w:lvl>
  </w:abstractNum>
  <w:abstractNum w:abstractNumId="4">
    <w:nsid w:val="588AD15D"/>
    <w:multiLevelType w:val="singleLevel"/>
    <w:tmpl w:val="588AD15D"/>
    <w:lvl w:ilvl="0" w:tentative="0">
      <w:start w:val="1"/>
      <w:numFmt w:val="decimal"/>
      <w:suff w:val="nothing"/>
      <w:lvlText w:val="（%1）"/>
      <w:lvlJc w:val="left"/>
      <w:pPr>
        <w:ind w:left="360" w:firstLine="0"/>
      </w:pPr>
    </w:lvl>
  </w:abstractNum>
  <w:abstractNum w:abstractNumId="5">
    <w:nsid w:val="6E7840BE"/>
    <w:multiLevelType w:val="singleLevel"/>
    <w:tmpl w:val="6E7840BE"/>
    <w:lvl w:ilvl="0" w:tentative="0">
      <w:start w:val="3"/>
      <w:numFmt w:val="chineseCounting"/>
      <w:suff w:val="nothing"/>
      <w:lvlText w:val="%1、"/>
      <w:lvlJc w:val="left"/>
      <w:rPr>
        <w:rFonts w:hint="eastAsia"/>
      </w:rPr>
    </w:lvl>
  </w:abstractNum>
  <w:abstractNum w:abstractNumId="6">
    <w:nsid w:val="7FD9BF7E"/>
    <w:multiLevelType w:val="singleLevel"/>
    <w:tmpl w:val="7FD9BF7E"/>
    <w:lvl w:ilvl="0" w:tentative="0">
      <w:start w:val="1"/>
      <w:numFmt w:val="decimal"/>
      <w:suff w:val="nothing"/>
      <w:lvlText w:val="%1、"/>
      <w:lvlJc w:val="left"/>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12"/>
    <w:rsid w:val="0009280E"/>
    <w:rsid w:val="00195F63"/>
    <w:rsid w:val="008D5E4F"/>
    <w:rsid w:val="009D4B12"/>
    <w:rsid w:val="00BA2661"/>
    <w:rsid w:val="00D108AC"/>
    <w:rsid w:val="0D6B6865"/>
    <w:rsid w:val="2C92748F"/>
    <w:rsid w:val="6F1D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Normal_3"/>
    <w:qFormat/>
    <w:uiPriority w:val="0"/>
    <w:pPr>
      <w:spacing w:before="120" w:after="240"/>
      <w:jc w:val="both"/>
    </w:pPr>
    <w:rPr>
      <w:rFonts w:ascii="Calibri" w:hAnsi="Calibri" w:eastAsia="Calibri" w:cs="Times New Roman"/>
      <w:sz w:val="22"/>
      <w:szCs w:val="22"/>
      <w:lang w:val="ru-RU" w:eastAsia="en-US" w:bidi="ar-SA"/>
    </w:r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632</Words>
  <Characters>3609</Characters>
  <Lines>30</Lines>
  <Paragraphs>8</Paragraphs>
  <TotalTime>22</TotalTime>
  <ScaleCrop>false</ScaleCrop>
  <LinksUpToDate>false</LinksUpToDate>
  <CharactersWithSpaces>4233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2022-01-22T04:06:00Z</dcterms:created>
  <dc:creator>hhcai1119@126.com</dc:creator>
  <cp:lastModifiedBy>guang</cp:lastModifiedBy>
  <dcterms:modified xsi:type="dcterms:W3CDTF">2022-01-28T06:45:46Z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DEE9253B0AC4447AA6B28EE0D9351888</vt:lpwstr>
  </property>
</Properties>
</file>